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270" w:before="157.5" w:after="157.5" w:lineRule="auto"/>
        <w:jc w:val="left"/>
      </w:pPr>
      <w:bookmarkStart w:id="0" w:name="adopter_l_ia_de_façon_harmonieuse_ee5b1e"/>
      <w:r>
        <w:rPr>
          <w:rFonts w:eastAsia="source serif 4" w:cs="source serif 4" w:ascii="source serif 4" w:hAnsi="source serif 4"/>
          <w:b/>
          <w:color w:val="000000"/>
          <w:sz w:val="39"/>
        </w:rPr>
        <w:t xml:space="preserve">Adopter l’IA de façon harmonieuse dans une association</w:t>
      </w:r>
      <w:bookmarkEnd w:id="0"/>
    </w:p>
    <w:p>
      <w:pPr>
        <w:spacing w:line="360" w:before="315" w:after="105" w:lineRule="auto"/>
        <w:ind w:left="-30"/>
        <w:jc w:val="left"/>
      </w:pPr>
      <w:bookmarkStart w:id="1" w:name="bm_1_introduction_pourquoi_se_fix_eaff85"/>
      <w:r>
        <w:rPr>
          <w:rFonts w:eastAsia="source serif 4" w:cs="source serif 4" w:ascii="source serif 4" w:hAnsi="source serif 4"/>
          <w:b/>
          <w:color w:val="000000"/>
          <w:sz w:val="24"/>
        </w:rPr>
        <w:t xml:space="preserve">1. Introduction : pourquoi se fixer des règles d’usage de l’IA ?</w:t>
      </w:r>
      <w:bookmarkEnd w:id="1"/>
    </w:p>
    <w:p>
      <w:pPr>
        <w:spacing w:line="360" w:after="210" w:lineRule="auto"/>
      </w:pPr>
      <w:r>
        <w:rPr>
          <w:rFonts w:eastAsia="source serif 4" w:cs="source serif 4" w:ascii="source serif 4" w:hAnsi="source serif 4"/>
          <w:color w:val="000000"/>
        </w:rPr>
        <w:t xml:space="preserve">L’intelligence artificielle (IA) – en particulier l’IA générative – s’invite désormais dans la plupart des organisations : suites bureautiques, outils collaboratifs, services en ligne, plateformes de communication, solutions de gestion ou de relation usagers. Les associations et les structures d’animation jeunesse n’y échappent pas : salariés, bénévoles et partenaires utilisent déjà des outils intégrant de l’IA, parfois au niveau individuel, parfois dans le cadre de projets structurés, souvent sans cadre commun explicite.[</w:t>
      </w:r>
      <w:r>
        <w:rPr>
          <w:rFonts w:eastAsia="source serif 4" w:cs="source serif 4" w:ascii="source serif 4" w:hAnsi="source serif 4"/>
          <w:color w:val="000000"/>
          <w:vertAlign w:val="superscript"/>
        </w:rPr>
        <w:t xml:space="preserve">1][</w:t>
      </w:r>
      <w:r>
        <w:rPr>
          <w:rFonts w:eastAsia="source serif 4" w:cs="source serif 4" w:ascii="source serif 4" w:hAnsi="source serif 4"/>
          <w:color w:val="000000"/>
        </w:rPr>
        <w:t xml:space="preserve">2][</w:t>
      </w:r>
      <w:r>
        <w:rPr>
          <w:rFonts w:eastAsia="source serif 4" w:cs="source serif 4" w:ascii="source serif 4" w:hAnsi="source serif 4"/>
          <w:color w:val="000000"/>
          <w:vertAlign w:val="superscript"/>
        </w:rPr>
        <w:t xml:space="preserve">3][</w:t>
      </w:r>
      <w:r>
        <w:rPr>
          <w:rFonts w:eastAsia="source serif 4" w:cs="source serif 4" w:ascii="source serif 4" w:hAnsi="source serif 4"/>
          <w:color w:val="000000"/>
        </w:rPr>
        <w:t xml:space="preserve">4]</w:t>
      </w:r>
    </w:p>
    <w:p>
      <w:pPr>
        <w:spacing w:line="360" w:after="210" w:lineRule="auto"/>
      </w:pPr>
      <w:r>
        <w:rPr>
          <w:rFonts w:eastAsia="source serif 4" w:cs="source serif 4" w:ascii="source serif 4" w:hAnsi="source serif 4"/>
          <w:color w:val="000000"/>
        </w:rPr>
        <w:t xml:space="preserve">Face à cette diffusion, de nombreux acteurs publics et privés élaborent des </w:t>
      </w:r>
      <w:r>
        <w:rPr>
          <w:rFonts w:eastAsia="source serif 4" w:cs="source serif 4" w:ascii="source serif 4" w:hAnsi="source serif 4"/>
          <w:b/>
          <w:color w:val="000000"/>
        </w:rPr>
        <w:t xml:space="preserve">chartes d’utilisation de l’IA</w:t>
      </w:r>
      <w:r>
        <w:rPr>
          <w:rFonts w:eastAsia="source serif 4" w:cs="source serif 4" w:ascii="source serif 4" w:hAnsi="source serif 4"/>
          <w:color w:val="000000"/>
        </w:rPr>
        <w:t xml:space="preserve"> ou des </w:t>
      </w:r>
      <w:r>
        <w:rPr>
          <w:rFonts w:eastAsia="source serif 4" w:cs="source serif 4" w:ascii="source serif 4" w:hAnsi="source serif 4"/>
          <w:b/>
          <w:color w:val="000000"/>
        </w:rPr>
        <w:t xml:space="preserve">chartes numériques responsables</w:t>
      </w:r>
      <w:r>
        <w:rPr>
          <w:rFonts w:eastAsia="source serif 4" w:cs="source serif 4" w:ascii="source serif 4" w:hAnsi="source serif 4"/>
          <w:color w:val="000000"/>
        </w:rPr>
        <w:t xml:space="preserve">, afin de poser des principes éthiques, de limiter les risques et d’orienter les usages vers l’intérêt général. L’UNESCO et la Commission européenne ont également produit des recommandations en matière d’IA responsable, centrées sur les droits humains, la transparence, la non‑discrimination, la durabilité et la participation.[</w:t>
      </w:r>
      <w:r>
        <w:rPr>
          <w:rFonts w:eastAsia="source serif 4" w:cs="source serif 4" w:ascii="source serif 4" w:hAnsi="source serif 4"/>
          <w:color w:val="000000"/>
          <w:vertAlign w:val="superscript"/>
        </w:rPr>
        <w:t xml:space="preserve">5][</w:t>
      </w:r>
      <w:r>
        <w:rPr>
          <w:rFonts w:eastAsia="source serif 4" w:cs="source serif 4" w:ascii="source serif 4" w:hAnsi="source serif 4"/>
          <w:color w:val="000000"/>
        </w:rPr>
        <w:t xml:space="preserve">4][</w:t>
      </w:r>
      <w:r>
        <w:rPr>
          <w:rFonts w:eastAsia="source serif 4" w:cs="source serif 4" w:ascii="source serif 4" w:hAnsi="source serif 4"/>
          <w:color w:val="000000"/>
          <w:vertAlign w:val="superscript"/>
        </w:rPr>
        <w:t xml:space="preserve">6][</w:t>
      </w:r>
      <w:r>
        <w:rPr>
          <w:rFonts w:eastAsia="source serif 4" w:cs="source serif 4" w:ascii="source serif 4" w:hAnsi="source serif 4"/>
          <w:color w:val="000000"/>
        </w:rPr>
        <w:t xml:space="preserve">7][</w:t>
      </w:r>
      <w:r>
        <w:rPr>
          <w:rFonts w:eastAsia="source serif 4" w:cs="source serif 4" w:ascii="source serif 4" w:hAnsi="source serif 4"/>
          <w:color w:val="000000"/>
          <w:vertAlign w:val="superscript"/>
        </w:rPr>
        <w:t xml:space="preserve">8][</w:t>
      </w:r>
      <w:r>
        <w:rPr>
          <w:rFonts w:eastAsia="source serif 4" w:cs="source serif 4" w:ascii="source serif 4" w:hAnsi="source serif 4"/>
          <w:color w:val="000000"/>
        </w:rPr>
        <w:t xml:space="preserve">9]</w:t>
      </w:r>
    </w:p>
    <w:p>
      <w:pPr>
        <w:spacing w:line="360" w:after="210" w:lineRule="auto"/>
      </w:pPr>
      <w:r>
        <w:rPr>
          <w:rFonts w:eastAsia="source serif 4" w:cs="source serif 4" w:ascii="source serif 4" w:hAnsi="source serif 4"/>
          <w:color w:val="000000"/>
        </w:rPr>
        <w:t xml:space="preserve">Ce rapport propose un cadre pour une formation visant trois objectifs pédagogiques :</w:t>
      </w:r>
    </w:p>
    <w:p>
      <w:pPr>
        <w:numPr>
          <w:ilvl w:val="0"/>
          <w:numId w:val="1"/>
        </w:numPr>
        <w:spacing w:line="360" w:before="105" w:after="105" w:lineRule="auto"/>
      </w:pPr>
      <w:r>
        <w:rPr>
          <w:rFonts w:eastAsia="source serif 4" w:cs="source serif 4" w:ascii="source serif 4" w:hAnsi="source serif 4"/>
          <w:color w:val="000000"/>
          <w:sz w:val="21"/>
        </w:rPr>
        <w:t xml:space="preserve">Dresser l’état des lieux (diagnostic) des usages officiels et « cachés » de l’IA au sein d’une structure associative.</w:t>
      </w:r>
    </w:p>
    <w:p>
      <w:pPr>
        <w:numPr>
          <w:ilvl w:val="0"/>
          <w:numId w:val="1"/>
        </w:numPr>
        <w:spacing w:line="360" w:before="105" w:after="105" w:lineRule="auto"/>
      </w:pPr>
      <w:r>
        <w:rPr>
          <w:rFonts w:eastAsia="source serif 4" w:cs="source serif 4" w:ascii="source serif 4" w:hAnsi="source serif 4"/>
          <w:color w:val="000000"/>
          <w:sz w:val="21"/>
        </w:rPr>
        <w:t xml:space="preserve">Rédiger et adapter une </w:t>
      </w:r>
      <w:r>
        <w:rPr>
          <w:rFonts w:eastAsia="source serif 4" w:cs="source serif 4" w:ascii="source serif 4" w:hAnsi="source serif 4"/>
          <w:b/>
          <w:color w:val="000000"/>
          <w:sz w:val="21"/>
        </w:rPr>
        <w:t xml:space="preserve">Charte des usages éthiques de l’IA</w:t>
      </w:r>
      <w:r>
        <w:rPr>
          <w:rFonts w:eastAsia="source serif 4" w:cs="source serif 4" w:ascii="source serif 4" w:hAnsi="source serif 4"/>
          <w:color w:val="000000"/>
          <w:sz w:val="21"/>
        </w:rPr>
        <w:t xml:space="preserve"> personnalisée pour l’association.</w:t>
      </w:r>
    </w:p>
    <w:p>
      <w:pPr>
        <w:numPr>
          <w:ilvl w:val="0"/>
          <w:numId w:val="1"/>
        </w:numPr>
        <w:spacing w:line="360" w:before="105" w:after="105" w:lineRule="auto"/>
      </w:pPr>
      <w:r>
        <w:rPr>
          <w:rFonts w:eastAsia="source serif 4" w:cs="source serif 4" w:ascii="source serif 4" w:hAnsi="source serif 4"/>
          <w:color w:val="000000"/>
          <w:sz w:val="21"/>
        </w:rPr>
        <w:t xml:space="preserve">Élaborer une </w:t>
      </w:r>
      <w:r>
        <w:rPr>
          <w:rFonts w:eastAsia="source serif 4" w:cs="source serif 4" w:ascii="source serif 4" w:hAnsi="source serif 4"/>
          <w:b/>
          <w:color w:val="000000"/>
          <w:sz w:val="21"/>
        </w:rPr>
        <w:t xml:space="preserve">feuille de route personnelle et collective</w:t>
      </w:r>
      <w:r>
        <w:rPr>
          <w:rFonts w:eastAsia="source serif 4" w:cs="source serif 4" w:ascii="source serif 4" w:hAnsi="source serif 4"/>
          <w:color w:val="000000"/>
          <w:sz w:val="21"/>
        </w:rPr>
        <w:t xml:space="preserve"> d’intégration des apprentissages à court, moyen et long terme.</w:t>
      </w:r>
    </w:p>
    <w:p>
      <w:pPr>
        <w:spacing w:line="360" w:after="210" w:lineRule="auto"/>
      </w:pPr>
      <w:r>
        <w:rPr>
          <w:rFonts w:eastAsia="source serif 4" w:cs="source serif 4" w:ascii="source serif 4" w:hAnsi="source serif 4"/>
          <w:color w:val="000000"/>
        </w:rPr>
        <w:t xml:space="preserve">Il s’appuie sur des exemples de chartes et d’outils élaborés par des collectivités, des instituts du numérique responsable et des réseaux associatifs.</w:t>
      </w:r>
    </w:p>
    <w:p>
      <w:pPr>
        <w:spacing w:line="360" w:before="315" w:after="105" w:lineRule="auto"/>
        <w:ind w:left="-30"/>
        <w:jc w:val="left"/>
      </w:pPr>
      <w:bookmarkStart w:id="2" w:name="bm_2_dresser_l_état_des_lieux_des_b74ca0"/>
      <w:r>
        <w:rPr>
          <w:rFonts w:eastAsia="source serif 4" w:cs="source serif 4" w:ascii="source serif 4" w:hAnsi="source serif 4"/>
          <w:b/>
          <w:color w:val="000000"/>
          <w:sz w:val="24"/>
        </w:rPr>
        <w:t xml:space="preserve">2. Dresser l’état des lieux des usages d’IA dans la structure</w:t>
      </w:r>
      <w:bookmarkEnd w:id="2"/>
    </w:p>
    <w:p>
      <w:pPr>
        <w:spacing w:line="360" w:before="315" w:after="105" w:lineRule="auto"/>
        <w:ind w:left="-30"/>
        <w:jc w:val="left"/>
      </w:pPr>
      <w:bookmarkStart w:id="3" w:name="bm_2_1_pourquoi_un_diagnostic_des_3e5ea1"/>
      <w:r>
        <w:rPr>
          <w:rFonts w:eastAsia="source serif 4" w:cs="source serif 4" w:ascii="source serif 4" w:hAnsi="source serif 4"/>
          <w:b/>
          <w:color w:val="000000"/>
          <w:sz w:val="24"/>
        </w:rPr>
        <w:t xml:space="preserve">2.1. Pourquoi un diagnostic des usages (officiels et cachés) ?</w:t>
      </w:r>
      <w:bookmarkEnd w:id="3"/>
    </w:p>
    <w:p>
      <w:pPr>
        <w:spacing w:line="360" w:after="210" w:lineRule="auto"/>
      </w:pPr>
      <w:r>
        <w:rPr>
          <w:rFonts w:eastAsia="source serif 4" w:cs="source serif 4" w:ascii="source serif 4" w:hAnsi="source serif 4"/>
          <w:color w:val="000000"/>
        </w:rPr>
        <w:t xml:space="preserve">Avant de rédiger des règles, il est nécessaire de comprendre comment l’IA est déjà utilisée dans la structure, de manière officielle ou informelle. De nombreuses chartes publiques recommandent de commencer par un </w:t>
      </w:r>
      <w:r>
        <w:rPr>
          <w:rFonts w:eastAsia="source serif 4" w:cs="source serif 4" w:ascii="source serif 4" w:hAnsi="source serif 4"/>
          <w:b/>
          <w:color w:val="000000"/>
        </w:rPr>
        <w:t xml:space="preserve">inventaire des usages numériques</w:t>
      </w:r>
      <w:r>
        <w:rPr>
          <w:rFonts w:eastAsia="source serif 4" w:cs="source serif 4" w:ascii="source serif 4" w:hAnsi="source serif 4"/>
          <w:color w:val="000000"/>
        </w:rPr>
        <w:t xml:space="preserve"> existants, afin d’éviter les textes déconnectés des pratiques réelles.[</w:t>
      </w:r>
      <w:r>
        <w:rPr>
          <w:rFonts w:eastAsia="source serif 4" w:cs="source serif 4" w:ascii="source serif 4" w:hAnsi="source serif 4"/>
          <w:color w:val="000000"/>
          <w:vertAlign w:val="superscript"/>
        </w:rPr>
        <w:t xml:space="preserve">2][</w:t>
      </w:r>
      <w:r>
        <w:rPr>
          <w:rFonts w:eastAsia="source serif 4" w:cs="source serif 4" w:ascii="source serif 4" w:hAnsi="source serif 4"/>
          <w:color w:val="000000"/>
        </w:rPr>
        <w:t xml:space="preserve">3][</w:t>
      </w:r>
      <w:r>
        <w:rPr>
          <w:rFonts w:eastAsia="source serif 4" w:cs="source serif 4" w:ascii="source serif 4" w:hAnsi="source serif 4"/>
          <w:color w:val="000000"/>
          <w:vertAlign w:val="superscript"/>
        </w:rPr>
        <w:t xml:space="preserve">10][</w:t>
      </w:r>
      <w:r>
        <w:rPr>
          <w:rFonts w:eastAsia="source serif 4" w:cs="source serif 4" w:ascii="source serif 4" w:hAnsi="source serif 4"/>
          <w:color w:val="000000"/>
        </w:rPr>
        <w:t xml:space="preserve">11][^5]</w:t>
      </w:r>
    </w:p>
    <w:p>
      <w:pPr>
        <w:spacing w:line="360" w:after="210" w:lineRule="auto"/>
      </w:pPr>
      <w:r>
        <w:rPr>
          <w:rFonts w:eastAsia="source serif 4" w:cs="source serif 4" w:ascii="source serif 4" w:hAnsi="source serif 4"/>
          <w:color w:val="000000"/>
        </w:rPr>
        <w:t xml:space="preserve">Dans le monde associatif, cet état des lieux permet de :</w:t>
      </w:r>
    </w:p>
    <w:p>
      <w:pPr>
        <w:numPr>
          <w:ilvl w:val="0"/>
          <w:numId w:val="2"/>
        </w:numPr>
        <w:spacing w:line="360" w:before="105" w:after="105" w:lineRule="auto"/>
      </w:pPr>
      <w:r>
        <w:rPr>
          <w:rFonts w:eastAsia="source serif 4" w:cs="source serif 4" w:ascii="source serif 4" w:hAnsi="source serif 4"/>
          <w:color w:val="000000"/>
          <w:sz w:val="21"/>
        </w:rPr>
        <w:t xml:space="preserve">Repérer les outils intégrant de l’IA déjà déployés ou envisagés (chatbots, assistants rédactionnels, modules de traduction, outils de modération, CRM avec scoring, outils de ciblage de campagnes, etc.).[</w:t>
      </w:r>
      <w:r>
        <w:rPr>
          <w:rFonts w:eastAsia="source serif 4" w:cs="source serif 4" w:ascii="source serif 4" w:hAnsi="source serif 4"/>
          <w:color w:val="000000"/>
          <w:sz w:val="21"/>
          <w:vertAlign w:val="superscript"/>
        </w:rPr>
        <w:t xml:space="preserve">3][</w:t>
      </w:r>
      <w:r>
        <w:rPr>
          <w:rFonts w:eastAsia="source serif 4" w:cs="source serif 4" w:ascii="source serif 4" w:hAnsi="source serif 4"/>
          <w:color w:val="000000"/>
          <w:sz w:val="21"/>
        </w:rPr>
        <w:t xml:space="preserve">4]</w:t>
      </w:r>
    </w:p>
    <w:p>
      <w:pPr>
        <w:numPr>
          <w:ilvl w:val="0"/>
          <w:numId w:val="2"/>
        </w:numPr>
        <w:spacing w:line="360" w:before="105" w:after="105" w:lineRule="auto"/>
      </w:pPr>
      <w:r>
        <w:rPr>
          <w:rFonts w:eastAsia="source serif 4" w:cs="source serif 4" w:ascii="source serif 4" w:hAnsi="source serif 4"/>
          <w:color w:val="000000"/>
          <w:sz w:val="21"/>
        </w:rPr>
        <w:t xml:space="preserve">Identifier les </w:t>
      </w:r>
      <w:r>
        <w:rPr>
          <w:rFonts w:eastAsia="source serif 4" w:cs="source serif 4" w:ascii="source serif 4" w:hAnsi="source serif 4"/>
          <w:b/>
          <w:color w:val="000000"/>
          <w:sz w:val="21"/>
        </w:rPr>
        <w:t xml:space="preserve">usages individuels « cachés »</w:t>
      </w:r>
      <w:r>
        <w:rPr>
          <w:rFonts w:eastAsia="source serif 4" w:cs="source serif 4" w:ascii="source serif 4" w:hAnsi="source serif 4"/>
          <w:color w:val="000000"/>
          <w:sz w:val="21"/>
        </w:rPr>
        <w:t xml:space="preserve"> (usage personnel de ChatGPT ou d’assistants intégrés aux suites bureautiques pour écrire des mails, rédiger des dossiers, produire des visuels, etc.).</w:t>
      </w:r>
    </w:p>
    <w:p>
      <w:pPr>
        <w:numPr>
          <w:ilvl w:val="0"/>
          <w:numId w:val="2"/>
        </w:numPr>
        <w:spacing w:line="360" w:before="105" w:after="105" w:lineRule="auto"/>
      </w:pPr>
      <w:r>
        <w:rPr>
          <w:rFonts w:eastAsia="source serif 4" w:cs="source serif 4" w:ascii="source serif 4" w:hAnsi="source serif 4"/>
          <w:color w:val="000000"/>
          <w:sz w:val="21"/>
        </w:rPr>
        <w:t xml:space="preserve">Comprendre les représentations, attentes et inquiétudes des salariés, bénévoles, jeunes et partenaires vis‑à‑vis de l’IA.</w:t>
      </w:r>
    </w:p>
    <w:p>
      <w:pPr>
        <w:spacing w:line="360" w:before="315" w:after="105" w:lineRule="auto"/>
        <w:ind w:left="-30"/>
        <w:jc w:val="left"/>
      </w:pPr>
      <w:bookmarkStart w:id="4" w:name="bm_2_2_une_grille_de_diagnostic_e_cfe9bd"/>
      <w:r>
        <w:rPr>
          <w:rFonts w:eastAsia="source serif 4" w:cs="source serif 4" w:ascii="source serif 4" w:hAnsi="source serif 4"/>
          <w:b/>
          <w:color w:val="000000"/>
          <w:sz w:val="24"/>
        </w:rPr>
        <w:t xml:space="preserve">2.2. Une grille de diagnostic en trois dimensions</w:t>
      </w:r>
      <w:bookmarkEnd w:id="4"/>
    </w:p>
    <w:p>
      <w:pPr>
        <w:spacing w:line="360" w:after="210" w:lineRule="auto"/>
      </w:pPr>
      <w:r>
        <w:rPr>
          <w:rFonts w:eastAsia="source serif 4" w:cs="source serif 4" w:ascii="source serif 4" w:hAnsi="source serif 4"/>
          <w:color w:val="000000"/>
        </w:rPr>
        <w:t xml:space="preserve">Une formation peut proposer une grille de diagnostic structurée autour de trois dimensions : </w:t>
      </w:r>
      <w:r>
        <w:rPr>
          <w:rFonts w:eastAsia="source serif 4" w:cs="source serif 4" w:ascii="source serif 4" w:hAnsi="source serif 4"/>
          <w:b/>
          <w:color w:val="000000"/>
        </w:rPr>
        <w:t xml:space="preserve">usages, données, gouvernance</w:t>
      </w:r>
      <w:r>
        <w:rPr>
          <w:rFonts w:eastAsia="source serif 4" w:cs="source serif 4" w:ascii="source serif 4" w:hAnsi="source serif 4"/>
          <w:color w:val="000000"/>
        </w:rPr>
        <w:t xml:space="preserve">.</w:t>
      </w:r>
    </w:p>
    <w:p>
      <w:pPr>
        <w:numPr>
          <w:ilvl w:val="0"/>
          <w:numId w:val="3"/>
        </w:numPr>
        <w:spacing w:line="360" w:after="210" w:lineRule="auto"/>
      </w:pPr>
      <w:r>
        <w:rPr>
          <w:rFonts w:eastAsia="source serif 4" w:cs="source serif 4" w:ascii="source serif 4" w:hAnsi="source serif 4"/>
          <w:b/>
          <w:color w:val="000000"/>
          <w:sz w:val="21"/>
        </w:rPr>
        <w:t xml:space="preserve">Usages</w:t>
      </w:r>
    </w:p>
    <w:p>
      <w:pPr>
        <w:numPr>
          <w:ilvl w:val="1"/>
          <w:numId w:val="3"/>
        </w:numPr>
        <w:spacing w:line="360" w:before="105" w:after="105" w:lineRule="auto"/>
      </w:pPr>
      <w:r>
        <w:rPr>
          <w:rFonts w:eastAsia="source serif 4" w:cs="source serif 4" w:ascii="source serif 4" w:hAnsi="source serif 4"/>
          <w:color w:val="000000"/>
          <w:sz w:val="21"/>
        </w:rPr>
        <w:t xml:space="preserve">Pour quelles tâches l’IA est‑elle utilisée aujourd’hui ? (communication, gestion, pédagogie, accompagnement, évaluation, etc.)</w:t>
      </w:r>
    </w:p>
    <w:p>
      <w:pPr>
        <w:numPr>
          <w:ilvl w:val="1"/>
          <w:numId w:val="3"/>
        </w:numPr>
        <w:spacing w:line="360" w:before="105" w:after="105" w:lineRule="auto"/>
      </w:pPr>
      <w:r>
        <w:rPr>
          <w:rFonts w:eastAsia="source serif 4" w:cs="source serif 4" w:ascii="source serif 4" w:hAnsi="source serif 4"/>
          <w:color w:val="000000"/>
          <w:sz w:val="21"/>
        </w:rPr>
        <w:t xml:space="preserve">À l’initiative de qui ? (direction, équipes, individus, prestataires)</w:t>
      </w:r>
    </w:p>
    <w:p>
      <w:pPr>
        <w:numPr>
          <w:ilvl w:val="1"/>
          <w:numId w:val="3"/>
        </w:numPr>
        <w:spacing w:line="360" w:before="105" w:after="105" w:lineRule="auto"/>
      </w:pPr>
      <w:r>
        <w:rPr>
          <w:rFonts w:eastAsia="source serif 4" w:cs="source serif 4" w:ascii="source serif 4" w:hAnsi="source serif 4"/>
          <w:color w:val="000000"/>
          <w:sz w:val="21"/>
        </w:rPr>
        <w:t xml:space="preserve">L’usage est‑il expérimenté, généralisé, ponctuel ?</w:t>
      </w:r>
    </w:p>
    <w:p>
      <w:pPr>
        <w:numPr>
          <w:ilvl w:val="0"/>
          <w:numId w:val="3"/>
        </w:numPr>
        <w:spacing w:line="360" w:after="210" w:lineRule="auto"/>
      </w:pPr>
      <w:r>
        <w:rPr>
          <w:rFonts w:eastAsia="source serif 4" w:cs="source serif 4" w:ascii="source serif 4" w:hAnsi="source serif 4"/>
          <w:b/>
          <w:color w:val="000000"/>
          <w:sz w:val="21"/>
        </w:rPr>
        <w:t xml:space="preserve">Données</w:t>
      </w:r>
    </w:p>
    <w:p>
      <w:pPr>
        <w:numPr>
          <w:ilvl w:val="1"/>
          <w:numId w:val="3"/>
        </w:numPr>
        <w:spacing w:line="360" w:before="105" w:after="105" w:lineRule="auto"/>
      </w:pPr>
      <w:r>
        <w:rPr>
          <w:rFonts w:eastAsia="source serif 4" w:cs="source serif 4" w:ascii="source serif 4" w:hAnsi="source serif 4"/>
          <w:color w:val="000000"/>
          <w:sz w:val="21"/>
        </w:rPr>
        <w:t xml:space="preserve">Quelles données sont traitées via ces outils ? (données de contacts, listes de diffusion, dossiers individuels, données financières, contenus produits par les jeunes…)</w:t>
      </w:r>
    </w:p>
    <w:p>
      <w:pPr>
        <w:numPr>
          <w:ilvl w:val="1"/>
          <w:numId w:val="3"/>
        </w:numPr>
        <w:spacing w:line="360" w:before="105" w:after="105" w:lineRule="auto"/>
      </w:pPr>
      <w:r>
        <w:rPr>
          <w:rFonts w:eastAsia="source serif 4" w:cs="source serif 4" w:ascii="source serif 4" w:hAnsi="source serif 4"/>
          <w:color w:val="000000"/>
          <w:sz w:val="21"/>
        </w:rPr>
        <w:t xml:space="preserve">Des données sensibles (santé, vulnérabilité sociale, situation familiale, opinions) sont‑elles concernées ?[</w:t>
      </w:r>
      <w:r>
        <w:rPr>
          <w:rFonts w:eastAsia="source serif 4" w:cs="source serif 4" w:ascii="source serif 4" w:hAnsi="source serif 4"/>
          <w:color w:val="000000"/>
          <w:sz w:val="21"/>
          <w:vertAlign w:val="superscript"/>
        </w:rPr>
        <w:t xml:space="preserve">1][</w:t>
      </w:r>
      <w:r>
        <w:rPr>
          <w:rFonts w:eastAsia="source serif 4" w:cs="source serif 4" w:ascii="source serif 4" w:hAnsi="source serif 4"/>
          <w:color w:val="000000"/>
          <w:sz w:val="21"/>
        </w:rPr>
        <w:t xml:space="preserve">2]</w:t>
      </w:r>
    </w:p>
    <w:p>
      <w:pPr>
        <w:numPr>
          <w:ilvl w:val="1"/>
          <w:numId w:val="3"/>
        </w:numPr>
        <w:spacing w:line="360" w:before="105" w:after="105" w:lineRule="auto"/>
      </w:pPr>
      <w:r>
        <w:rPr>
          <w:rFonts w:eastAsia="source serif 4" w:cs="source serif 4" w:ascii="source serif 4" w:hAnsi="source serif 4"/>
          <w:color w:val="000000"/>
          <w:sz w:val="21"/>
        </w:rPr>
        <w:t xml:space="preserve">Les données peuvent‑elles être réutilisées par le fournisseur pour entraîner ses modèles ? (vérifier les conditions d’utilisation)</w:t>
      </w:r>
    </w:p>
    <w:p>
      <w:pPr>
        <w:numPr>
          <w:ilvl w:val="0"/>
          <w:numId w:val="3"/>
        </w:numPr>
        <w:spacing w:line="360" w:after="210" w:lineRule="auto"/>
      </w:pPr>
      <w:r>
        <w:rPr>
          <w:rFonts w:eastAsia="source serif 4" w:cs="source serif 4" w:ascii="source serif 4" w:hAnsi="source serif 4"/>
          <w:b/>
          <w:color w:val="000000"/>
          <w:sz w:val="21"/>
        </w:rPr>
        <w:t xml:space="preserve">Gouvernance</w:t>
      </w:r>
    </w:p>
    <w:p>
      <w:pPr>
        <w:numPr>
          <w:ilvl w:val="1"/>
          <w:numId w:val="3"/>
        </w:numPr>
        <w:spacing w:line="360" w:before="105" w:after="105" w:lineRule="auto"/>
      </w:pPr>
      <w:r>
        <w:rPr>
          <w:rFonts w:eastAsia="source serif 4" w:cs="source serif 4" w:ascii="source serif 4" w:hAnsi="source serif 4"/>
          <w:color w:val="000000"/>
          <w:sz w:val="21"/>
        </w:rPr>
        <w:t xml:space="preserve">Qui décide d’introduire un outil IA dans la structure ? (CA, direction, équipe, réseau)</w:t>
      </w:r>
    </w:p>
    <w:p>
      <w:pPr>
        <w:numPr>
          <w:ilvl w:val="1"/>
          <w:numId w:val="3"/>
        </w:numPr>
        <w:spacing w:line="360" w:before="105" w:after="105" w:lineRule="auto"/>
      </w:pPr>
      <w:r>
        <w:rPr>
          <w:rFonts w:eastAsia="source serif 4" w:cs="source serif 4" w:ascii="source serif 4" w:hAnsi="source serif 4"/>
          <w:color w:val="000000"/>
          <w:sz w:val="21"/>
        </w:rPr>
        <w:t xml:space="preserve">Existe‑t‑il une validation juridique ou RGPD (DPO, référent, appui CNIL, fédération) ?[</w:t>
      </w:r>
      <w:r>
        <w:rPr>
          <w:rFonts w:eastAsia="source serif 4" w:cs="source serif 4" w:ascii="source serif 4" w:hAnsi="source serif 4"/>
          <w:color w:val="000000"/>
          <w:sz w:val="21"/>
          <w:vertAlign w:val="superscript"/>
        </w:rPr>
        <w:t xml:space="preserve">2][</w:t>
      </w:r>
      <w:r>
        <w:rPr>
          <w:rFonts w:eastAsia="source serif 4" w:cs="source serif 4" w:ascii="source serif 4" w:hAnsi="source serif 4"/>
          <w:color w:val="000000"/>
          <w:sz w:val="21"/>
        </w:rPr>
        <w:t xml:space="preserve">1]</w:t>
      </w:r>
    </w:p>
    <w:p>
      <w:pPr>
        <w:numPr>
          <w:ilvl w:val="1"/>
          <w:numId w:val="3"/>
        </w:numPr>
        <w:spacing w:line="360" w:before="105" w:after="105" w:lineRule="auto"/>
      </w:pPr>
      <w:r>
        <w:rPr>
          <w:rFonts w:eastAsia="source serif 4" w:cs="source serif 4" w:ascii="source serif 4" w:hAnsi="source serif 4"/>
          <w:color w:val="000000"/>
          <w:sz w:val="21"/>
        </w:rPr>
        <w:t xml:space="preserve">Comment les usagers sont‑ils informés ? (mentions, affiches, consentement)</w:t>
      </w:r>
    </w:p>
    <w:p>
      <w:pPr>
        <w:spacing w:line="360" w:after="210" w:lineRule="auto"/>
      </w:pPr>
      <w:r>
        <w:rPr>
          <w:rFonts w:eastAsia="source serif 4" w:cs="source serif 4" w:ascii="source serif 4" w:hAnsi="source serif 4"/>
          <w:color w:val="000000"/>
        </w:rPr>
        <w:t xml:space="preserve">Cet exercice permet de préparer la phase suivante : la co‑construction d’une charte réaliste, ancrée dans les pratiques.</w:t>
      </w:r>
    </w:p>
    <w:p>
      <w:pPr>
        <w:spacing w:line="360" w:before="315" w:after="105" w:lineRule="auto"/>
        <w:ind w:left="-30"/>
        <w:jc w:val="left"/>
      </w:pPr>
      <w:bookmarkStart w:id="5" w:name="bm_2_3_méthodes_participatives_de_ed0300"/>
      <w:r>
        <w:rPr>
          <w:rFonts w:eastAsia="source serif 4" w:cs="source serif 4" w:ascii="source serif 4" w:hAnsi="source serif 4"/>
          <w:b/>
          <w:color w:val="000000"/>
          <w:sz w:val="24"/>
        </w:rPr>
        <w:t xml:space="preserve">2.3. Méthodes participatives de diagnostic</w:t>
      </w:r>
      <w:bookmarkEnd w:id="5"/>
    </w:p>
    <w:p>
      <w:pPr>
        <w:spacing w:line="360" w:after="210" w:lineRule="auto"/>
      </w:pPr>
      <w:r>
        <w:rPr>
          <w:rFonts w:eastAsia="source serif 4" w:cs="source serif 4" w:ascii="source serif 4" w:hAnsi="source serif 4"/>
          <w:color w:val="000000"/>
        </w:rPr>
        <w:t xml:space="preserve">Plusieurs chartes et guides publics suggèrent d’utiliser des </w:t>
      </w:r>
      <w:r>
        <w:rPr>
          <w:rFonts w:eastAsia="source serif 4" w:cs="source serif 4" w:ascii="source serif 4" w:hAnsi="source serif 4"/>
          <w:b/>
          <w:color w:val="000000"/>
        </w:rPr>
        <w:t xml:space="preserve">méthodes participatives</w:t>
      </w:r>
      <w:r>
        <w:rPr>
          <w:rFonts w:eastAsia="source serif 4" w:cs="source serif 4" w:ascii="source serif 4" w:hAnsi="source serif 4"/>
          <w:color w:val="000000"/>
        </w:rPr>
        <w:t xml:space="preserve"> pour ce diagnostic : groupes de travail, ateliers, questionnaires internes. Des acteurs de l’éducation populaire recommandent par exemple d’animer des ateliers où chacun note sur des post‑its les outils qu’il utilise et pour quoi faire, afin de rendre visibles les usages « cachés » et de réduire les tabous.[</w:t>
      </w:r>
      <w:r>
        <w:rPr>
          <w:rFonts w:eastAsia="source serif 4" w:cs="source serif 4" w:ascii="source serif 4" w:hAnsi="source serif 4"/>
          <w:color w:val="000000"/>
          <w:vertAlign w:val="superscript"/>
        </w:rPr>
        <w:t xml:space="preserve">12][</w:t>
      </w:r>
      <w:r>
        <w:rPr>
          <w:rFonts w:eastAsia="source serif 4" w:cs="source serif 4" w:ascii="source serif 4" w:hAnsi="source serif 4"/>
          <w:color w:val="000000"/>
        </w:rPr>
        <w:t xml:space="preserve">13][</w:t>
      </w:r>
      <w:r>
        <w:rPr>
          <w:rFonts w:eastAsia="source serif 4" w:cs="source serif 4" w:ascii="source serif 4" w:hAnsi="source serif 4"/>
          <w:color w:val="000000"/>
          <w:vertAlign w:val="superscript"/>
        </w:rPr>
        <w:t xml:space="preserve">10][</w:t>
      </w:r>
      <w:r>
        <w:rPr>
          <w:rFonts w:eastAsia="source serif 4" w:cs="source serif 4" w:ascii="source serif 4" w:hAnsi="source serif 4"/>
          <w:color w:val="000000"/>
        </w:rPr>
        <w:t xml:space="preserve">14][^5]</w:t>
      </w:r>
    </w:p>
    <w:p>
      <w:pPr>
        <w:spacing w:line="360" w:after="210" w:lineRule="auto"/>
      </w:pPr>
      <w:r>
        <w:rPr>
          <w:rFonts w:eastAsia="source serif 4" w:cs="source serif 4" w:ascii="source serif 4" w:hAnsi="source serif 4"/>
          <w:color w:val="000000"/>
        </w:rPr>
        <w:t xml:space="preserve">Dans le cadre d’une formation, on peut simuler ce diagnostic avec les participants :</w:t>
      </w:r>
    </w:p>
    <w:p>
      <w:pPr>
        <w:numPr>
          <w:ilvl w:val="0"/>
          <w:numId w:val="4"/>
        </w:numPr>
        <w:spacing w:line="360" w:before="105" w:after="105" w:lineRule="auto"/>
      </w:pPr>
      <w:r>
        <w:rPr>
          <w:rFonts w:eastAsia="source serif 4" w:cs="source serif 4" w:ascii="source serif 4" w:hAnsi="source serif 4"/>
          <w:color w:val="000000"/>
          <w:sz w:val="21"/>
        </w:rPr>
        <w:t xml:space="preserve">En leur demandant de cartographier les usages d’IA dans leur propre structure.</w:t>
      </w:r>
    </w:p>
    <w:p>
      <w:pPr>
        <w:numPr>
          <w:ilvl w:val="0"/>
          <w:numId w:val="4"/>
        </w:numPr>
        <w:spacing w:line="360" w:before="105" w:after="105" w:lineRule="auto"/>
      </w:pPr>
      <w:r>
        <w:rPr>
          <w:rFonts w:eastAsia="source serif 4" w:cs="source serif 4" w:ascii="source serif 4" w:hAnsi="source serif 4"/>
          <w:color w:val="000000"/>
          <w:sz w:val="21"/>
        </w:rPr>
        <w:t xml:space="preserve">En mettant en commun les résultats pour identifier des tendances communes (usages massifs, zones d’ombre, risques partagés).</w:t>
      </w:r>
    </w:p>
    <w:p>
      <w:pPr>
        <w:spacing w:line="360" w:before="315" w:after="105" w:lineRule="auto"/>
        <w:ind w:left="-30"/>
        <w:jc w:val="left"/>
      </w:pPr>
      <w:bookmarkStart w:id="6" w:name="bm_3_co_construire_une_charte_des_7922ff"/>
      <w:r>
        <w:rPr>
          <w:rFonts w:eastAsia="source serif 4" w:cs="source serif 4" w:ascii="source serif 4" w:hAnsi="source serif 4"/>
          <w:b/>
          <w:color w:val="000000"/>
          <w:sz w:val="24"/>
        </w:rPr>
        <w:t xml:space="preserve">3. Co‑construire une Charte des usages éthiques de l’IA</w:t>
      </w:r>
      <w:bookmarkEnd w:id="6"/>
    </w:p>
    <w:p>
      <w:pPr>
        <w:spacing w:line="360" w:before="315" w:after="105" w:lineRule="auto"/>
        <w:ind w:left="-30"/>
        <w:jc w:val="left"/>
      </w:pPr>
      <w:bookmarkStart w:id="7" w:name="bm_3_1_s_inspirer_des_référentiel_961891"/>
      <w:r>
        <w:rPr>
          <w:rFonts w:eastAsia="source serif 4" w:cs="source serif 4" w:ascii="source serif 4" w:hAnsi="source serif 4"/>
          <w:b/>
          <w:color w:val="000000"/>
          <w:sz w:val="24"/>
        </w:rPr>
        <w:t xml:space="preserve">3.1. S’inspirer des référentiels existants</w:t>
      </w:r>
      <w:bookmarkEnd w:id="7"/>
    </w:p>
    <w:p>
      <w:pPr>
        <w:spacing w:line="360" w:after="210" w:lineRule="auto"/>
      </w:pPr>
      <w:r>
        <w:rPr>
          <w:rFonts w:eastAsia="source serif 4" w:cs="source serif 4" w:ascii="source serif 4" w:hAnsi="source serif 4"/>
          <w:color w:val="000000"/>
        </w:rPr>
        <w:t xml:space="preserve">De nombreux documents peuvent servir de base à une charte associative :</w:t>
      </w:r>
    </w:p>
    <w:p>
      <w:pPr>
        <w:numPr>
          <w:ilvl w:val="0"/>
          <w:numId w:val="5"/>
        </w:numPr>
        <w:spacing w:line="360" w:before="105" w:after="105" w:lineRule="auto"/>
      </w:pPr>
      <w:r>
        <w:rPr>
          <w:rFonts w:eastAsia="source serif 4" w:cs="source serif 4" w:ascii="source serif 4" w:hAnsi="source serif 4"/>
          <w:color w:val="000000"/>
          <w:sz w:val="21"/>
        </w:rPr>
        <w:t xml:space="preserve">La </w:t>
      </w:r>
      <w:r>
        <w:rPr>
          <w:rFonts w:eastAsia="source serif 4" w:cs="source serif 4" w:ascii="source serif 4" w:hAnsi="source serif 4"/>
          <w:b/>
          <w:color w:val="000000"/>
          <w:sz w:val="21"/>
        </w:rPr>
        <w:t xml:space="preserve">Recommandation de l’UNESCO sur l’éthique de l’IA</w:t>
      </w:r>
      <w:r>
        <w:rPr>
          <w:rFonts w:eastAsia="source serif 4" w:cs="source serif 4" w:ascii="source serif 4" w:hAnsi="source serif 4"/>
          <w:color w:val="000000"/>
          <w:sz w:val="21"/>
        </w:rPr>
        <w:t xml:space="preserve"> (2021) qui identifie des principes clés : respect des droits humains, diversité et non‑discrimination, durabilité environnementale, transparence, responsabilité et gouvernance inclusive.[^6]</w:t>
      </w:r>
    </w:p>
    <w:p>
      <w:pPr>
        <w:numPr>
          <w:ilvl w:val="0"/>
          <w:numId w:val="5"/>
        </w:numPr>
        <w:spacing w:line="360" w:before="105" w:after="105" w:lineRule="auto"/>
      </w:pPr>
      <w:r>
        <w:rPr>
          <w:rFonts w:eastAsia="source serif 4" w:cs="source serif 4" w:ascii="source serif 4" w:hAnsi="source serif 4"/>
          <w:color w:val="000000"/>
          <w:sz w:val="21"/>
        </w:rPr>
        <w:t xml:space="preserve">Les </w:t>
      </w:r>
      <w:r>
        <w:rPr>
          <w:rFonts w:eastAsia="source serif 4" w:cs="source serif 4" w:ascii="source serif 4" w:hAnsi="source serif 4"/>
          <w:b/>
          <w:color w:val="000000"/>
          <w:sz w:val="21"/>
        </w:rPr>
        <w:t xml:space="preserve">Lignes directrices européennes pour une IA digne de confiance</w:t>
      </w:r>
      <w:r>
        <w:rPr>
          <w:rFonts w:eastAsia="source serif 4" w:cs="source serif 4" w:ascii="source serif 4" w:hAnsi="source serif 4"/>
          <w:color w:val="000000"/>
          <w:sz w:val="21"/>
        </w:rPr>
        <w:t xml:space="preserve">, qui reposent sur trois piliers (légalité, éthique, robustesse) et détaillent sept exigences (contrôle humain, robustesse technique, vie privée, transparence, diversité et non‑discrimination, bien‑être sociétal et environnemental, responsabilité).[</w:t>
      </w:r>
      <w:r>
        <w:rPr>
          <w:rFonts w:eastAsia="source serif 4" w:cs="source serif 4" w:ascii="source serif 4" w:hAnsi="source serif 4"/>
          <w:color w:val="000000"/>
          <w:sz w:val="21"/>
          <w:vertAlign w:val="superscript"/>
        </w:rPr>
        <w:t xml:space="preserve">8][</w:t>
      </w:r>
      <w:r>
        <w:rPr>
          <w:rFonts w:eastAsia="source serif 4" w:cs="source serif 4" w:ascii="source serif 4" w:hAnsi="source serif 4"/>
          <w:color w:val="000000"/>
          <w:sz w:val="21"/>
        </w:rPr>
        <w:t xml:space="preserve">9]</w:t>
      </w:r>
    </w:p>
    <w:p>
      <w:pPr>
        <w:numPr>
          <w:ilvl w:val="0"/>
          <w:numId w:val="5"/>
        </w:numPr>
        <w:spacing w:line="360" w:before="105" w:after="105" w:lineRule="auto"/>
      </w:pPr>
      <w:r>
        <w:rPr>
          <w:rFonts w:eastAsia="source serif 4" w:cs="source serif 4" w:ascii="source serif 4" w:hAnsi="source serif 4"/>
          <w:color w:val="000000"/>
          <w:sz w:val="21"/>
        </w:rPr>
        <w:t xml:space="preserve">Les </w:t>
      </w:r>
      <w:r>
        <w:rPr>
          <w:rFonts w:eastAsia="source serif 4" w:cs="source serif 4" w:ascii="source serif 4" w:hAnsi="source serif 4"/>
          <w:b/>
          <w:color w:val="000000"/>
          <w:sz w:val="21"/>
        </w:rPr>
        <w:t xml:space="preserve">chartes publiques d’IA</w:t>
      </w:r>
      <w:r>
        <w:rPr>
          <w:rFonts w:eastAsia="source serif 4" w:cs="source serif 4" w:ascii="source serif 4" w:hAnsi="source serif 4"/>
          <w:color w:val="000000"/>
          <w:sz w:val="21"/>
        </w:rPr>
        <w:t xml:space="preserve"> (villes, établissements publics) qui déclinent ces principes en engagements concrets et en procédures de gouvernance.[</w:t>
      </w:r>
      <w:r>
        <w:rPr>
          <w:rFonts w:eastAsia="source serif 4" w:cs="source serif 4" w:ascii="source serif 4" w:hAnsi="source serif 4"/>
          <w:color w:val="000000"/>
          <w:sz w:val="21"/>
          <w:vertAlign w:val="superscript"/>
        </w:rPr>
        <w:t xml:space="preserve">7][</w:t>
      </w:r>
      <w:r>
        <w:rPr>
          <w:rFonts w:eastAsia="source serif 4" w:cs="source serif 4" w:ascii="source serif 4" w:hAnsi="source serif 4"/>
          <w:color w:val="000000"/>
          <w:sz w:val="21"/>
        </w:rPr>
        <w:t xml:space="preserve">11][^5]</w:t>
      </w:r>
    </w:p>
    <w:p>
      <w:pPr>
        <w:spacing w:line="360" w:after="210" w:lineRule="auto"/>
      </w:pPr>
      <w:r>
        <w:rPr>
          <w:rFonts w:eastAsia="source serif 4" w:cs="source serif 4" w:ascii="source serif 4" w:hAnsi="source serif 4"/>
          <w:color w:val="000000"/>
        </w:rPr>
        <w:t xml:space="preserve">Pour une association, l’enjeu est de traduire ces grandes orientations en règles compréhensibles, mobilisables et adaptées à sa taille.</w:t>
      </w:r>
    </w:p>
    <w:p>
      <w:pPr>
        <w:spacing w:line="360" w:before="315" w:after="105" w:lineRule="auto"/>
        <w:ind w:left="-30"/>
        <w:jc w:val="left"/>
      </w:pPr>
      <w:bookmarkStart w:id="8" w:name="bm_3_2_exemples_de_chartes_et_d_e_17c04b"/>
      <w:r>
        <w:rPr>
          <w:rFonts w:eastAsia="source serif 4" w:cs="source serif 4" w:ascii="source serif 4" w:hAnsi="source serif 4"/>
          <w:b/>
          <w:color w:val="000000"/>
          <w:sz w:val="24"/>
        </w:rPr>
        <w:t xml:space="preserve">3.2. Exemples de chartes et d’engagements existants</w:t>
      </w:r>
      <w:bookmarkEnd w:id="8"/>
    </w:p>
    <w:p>
      <w:pPr>
        <w:spacing w:line="360" w:after="210" w:lineRule="auto"/>
      </w:pPr>
      <w:r>
        <w:rPr>
          <w:rFonts w:eastAsia="source serif 4" w:cs="source serif 4" w:ascii="source serif 4" w:hAnsi="source serif 4"/>
          <w:color w:val="000000"/>
        </w:rPr>
        <w:t xml:space="preserve">Plusieurs acteurs ont produit des chartes applicables ou adaptables au secteur associatif :</w:t>
      </w:r>
    </w:p>
    <w:p>
      <w:pPr>
        <w:numPr>
          <w:ilvl w:val="0"/>
          <w:numId w:val="6"/>
        </w:numPr>
        <w:spacing w:line="360" w:before="105" w:after="105" w:lineRule="auto"/>
      </w:pPr>
      <w:r>
        <w:rPr>
          <w:rFonts w:eastAsia="source serif 4" w:cs="source serif 4" w:ascii="source serif 4" w:hAnsi="source serif 4"/>
          <w:b/>
          <w:color w:val="000000"/>
          <w:sz w:val="21"/>
        </w:rPr>
        <w:t xml:space="preserve">Charte d’utilisation des intelligences artificielles – CDG76</w:t>
      </w:r>
      <w:r>
        <w:rPr>
          <w:rFonts w:eastAsia="source serif 4" w:cs="source serif 4" w:ascii="source serif 4" w:hAnsi="source serif 4"/>
          <w:color w:val="000000"/>
          <w:sz w:val="21"/>
        </w:rPr>
        <w:t xml:space="preserve"> : proposée aux collectivités et structures affiliées, elle fixe des principes (conformité au droit, transparence, non‑discrimination, sécurité, sobriété) et fournit un modèle de document pouvant être adapté localement.[</w:t>
      </w:r>
      <w:r>
        <w:rPr>
          <w:rFonts w:eastAsia="source serif 4" w:cs="source serif 4" w:ascii="source serif 4" w:hAnsi="source serif 4"/>
          <w:color w:val="000000"/>
          <w:sz w:val="21"/>
          <w:vertAlign w:val="superscript"/>
        </w:rPr>
        <w:t xml:space="preserve">10][</w:t>
      </w:r>
      <w:r>
        <w:rPr>
          <w:rFonts w:eastAsia="source serif 4" w:cs="source serif 4" w:ascii="source serif 4" w:hAnsi="source serif 4"/>
          <w:color w:val="000000"/>
          <w:sz w:val="21"/>
        </w:rPr>
        <w:t xml:space="preserve">5]</w:t>
      </w:r>
    </w:p>
    <w:p>
      <w:pPr>
        <w:numPr>
          <w:ilvl w:val="0"/>
          <w:numId w:val="6"/>
        </w:numPr>
        <w:spacing w:line="360" w:before="105" w:after="105" w:lineRule="auto"/>
      </w:pPr>
      <w:r>
        <w:rPr>
          <w:rFonts w:eastAsia="source serif 4" w:cs="source serif 4" w:ascii="source serif 4" w:hAnsi="source serif 4"/>
          <w:b/>
          <w:color w:val="000000"/>
          <w:sz w:val="21"/>
        </w:rPr>
        <w:t xml:space="preserve">Charte IA Responsable – Institut du Numérique Responsable (INR)</w:t>
      </w:r>
      <w:r>
        <w:rPr>
          <w:rFonts w:eastAsia="source serif 4" w:cs="source serif 4" w:ascii="source serif 4" w:hAnsi="source serif 4"/>
          <w:color w:val="000000"/>
          <w:sz w:val="21"/>
        </w:rPr>
        <w:t xml:space="preserve"> : cette charte, destinée aux entreprises, administrations et associations, invite à une IA « responsable, frugale et souveraine », et s’accompagne d’un dispositif d’adhésion et de suivi.[</w:t>
      </w:r>
      <w:r>
        <w:rPr>
          <w:rFonts w:eastAsia="source serif 4" w:cs="source serif 4" w:ascii="source serif 4" w:hAnsi="source serif 4"/>
          <w:color w:val="000000"/>
          <w:sz w:val="21"/>
          <w:vertAlign w:val="superscript"/>
        </w:rPr>
        <w:t xml:space="preserve">4][</w:t>
      </w:r>
      <w:r>
        <w:rPr>
          <w:rFonts w:eastAsia="source serif 4" w:cs="source serif 4" w:ascii="source serif 4" w:hAnsi="source serif 4"/>
          <w:color w:val="000000"/>
          <w:sz w:val="21"/>
        </w:rPr>
        <w:t xml:space="preserve">15]</w:t>
      </w:r>
    </w:p>
    <w:p>
      <w:pPr>
        <w:numPr>
          <w:ilvl w:val="0"/>
          <w:numId w:val="6"/>
        </w:numPr>
        <w:spacing w:line="360" w:before="105" w:after="105" w:lineRule="auto"/>
      </w:pPr>
      <w:r>
        <w:rPr>
          <w:rFonts w:eastAsia="source serif 4" w:cs="source serif 4" w:ascii="source serif 4" w:hAnsi="source serif 4"/>
          <w:b/>
          <w:color w:val="000000"/>
          <w:sz w:val="21"/>
        </w:rPr>
        <w:t xml:space="preserve">Charte Numérique Responsable – INR</w:t>
      </w:r>
      <w:r>
        <w:rPr>
          <w:rFonts w:eastAsia="source serif 4" w:cs="source serif 4" w:ascii="source serif 4" w:hAnsi="source serif 4"/>
          <w:color w:val="000000"/>
          <w:sz w:val="21"/>
        </w:rPr>
        <w:t xml:space="preserve"> : document plus large sur le numérique responsable, utilisé comme outil d’engagement progressif et de pilotage de la transformation numérique.[</w:t>
      </w:r>
      <w:r>
        <w:rPr>
          <w:rFonts w:eastAsia="source serif 4" w:cs="source serif 4" w:ascii="source serif 4" w:hAnsi="source serif 4"/>
          <w:color w:val="000000"/>
          <w:sz w:val="21"/>
          <w:vertAlign w:val="superscript"/>
        </w:rPr>
        <w:t xml:space="preserve">16][</w:t>
      </w:r>
      <w:r>
        <w:rPr>
          <w:rFonts w:eastAsia="source serif 4" w:cs="source serif 4" w:ascii="source serif 4" w:hAnsi="source serif 4"/>
          <w:color w:val="000000"/>
          <w:sz w:val="21"/>
        </w:rPr>
        <w:t xml:space="preserve">4]</w:t>
      </w:r>
    </w:p>
    <w:p>
      <w:pPr>
        <w:numPr>
          <w:ilvl w:val="0"/>
          <w:numId w:val="6"/>
        </w:numPr>
        <w:spacing w:line="360" w:before="105" w:after="105" w:lineRule="auto"/>
      </w:pPr>
      <w:r>
        <w:rPr>
          <w:rFonts w:eastAsia="source serif 4" w:cs="source serif 4" w:ascii="source serif 4" w:hAnsi="source serif 4"/>
          <w:b/>
          <w:color w:val="000000"/>
          <w:sz w:val="21"/>
        </w:rPr>
        <w:t xml:space="preserve">Chartes IA de collectivités (ex. Eurométropole de Strasbourg)</w:t>
      </w:r>
      <w:r>
        <w:rPr>
          <w:rFonts w:eastAsia="source serif 4" w:cs="source serif 4" w:ascii="source serif 4" w:hAnsi="source serif 4"/>
          <w:color w:val="000000"/>
          <w:sz w:val="21"/>
        </w:rPr>
        <w:t xml:space="preserve"> : charte d’utilisation éthique de l’IA, articulée autour de principes (intérêt général, soutenabilité, transparence, non‑discrimination, protection des données, contrôle humain) et accompagnée d’un plan de mise en œuvre.[</w:t>
      </w:r>
      <w:r>
        <w:rPr>
          <w:rFonts w:eastAsia="source serif 4" w:cs="source serif 4" w:ascii="source serif 4" w:hAnsi="source serif 4"/>
          <w:color w:val="000000"/>
          <w:sz w:val="21"/>
          <w:vertAlign w:val="superscript"/>
        </w:rPr>
        <w:t xml:space="preserve">11][</w:t>
      </w:r>
      <w:r>
        <w:rPr>
          <w:rFonts w:eastAsia="source serif 4" w:cs="source serif 4" w:ascii="source serif 4" w:hAnsi="source serif 4"/>
          <w:color w:val="000000"/>
          <w:sz w:val="21"/>
        </w:rPr>
        <w:t xml:space="preserve">7]</w:t>
      </w:r>
    </w:p>
    <w:p>
      <w:pPr>
        <w:spacing w:line="360" w:after="210" w:lineRule="auto"/>
      </w:pPr>
      <w:r>
        <w:rPr>
          <w:rFonts w:eastAsia="source serif 4" w:cs="source serif 4" w:ascii="source serif 4" w:hAnsi="source serif 4"/>
          <w:color w:val="000000"/>
        </w:rPr>
        <w:t xml:space="preserve">Ces chartes montrent que l’IA peut être encadrée par un mélange de principes éthiques, de conformité réglementaire (RGPD, AI Act) et d’engagements environnementaux et sociaux.</w:t>
      </w:r>
    </w:p>
    <w:p>
      <w:pPr>
        <w:spacing w:line="360" w:before="315" w:after="105" w:lineRule="auto"/>
        <w:ind w:left="-30"/>
        <w:jc w:val="left"/>
      </w:pPr>
      <w:bookmarkStart w:id="9" w:name="bm_3_3_structure_type_d_une_chart_31ba7d"/>
      <w:r>
        <w:rPr>
          <w:rFonts w:eastAsia="source serif 4" w:cs="source serif 4" w:ascii="source serif 4" w:hAnsi="source serif 4"/>
          <w:b/>
          <w:color w:val="000000"/>
          <w:sz w:val="24"/>
        </w:rPr>
        <w:t xml:space="preserve">3.3. Structure type d’une charte associative</w:t>
      </w:r>
      <w:bookmarkEnd w:id="9"/>
    </w:p>
    <w:p>
      <w:pPr>
        <w:spacing w:line="360" w:after="210" w:lineRule="auto"/>
      </w:pPr>
      <w:r>
        <w:rPr>
          <w:rFonts w:eastAsia="source serif 4" w:cs="source serif 4" w:ascii="source serif 4" w:hAnsi="source serif 4"/>
          <w:color w:val="000000"/>
        </w:rPr>
        <w:t xml:space="preserve">Une </w:t>
      </w:r>
      <w:r>
        <w:rPr>
          <w:rFonts w:eastAsia="source serif 4" w:cs="source serif 4" w:ascii="source serif 4" w:hAnsi="source serif 4"/>
          <w:b/>
          <w:color w:val="000000"/>
        </w:rPr>
        <w:t xml:space="preserve">Charte des usages éthiques de l’IA</w:t>
      </w:r>
      <w:r>
        <w:rPr>
          <w:rFonts w:eastAsia="source serif 4" w:cs="source serif 4" w:ascii="source serif 4" w:hAnsi="source serif 4"/>
          <w:color w:val="000000"/>
        </w:rPr>
        <w:t xml:space="preserve"> pour une association pourrait comporter :</w:t>
      </w:r>
    </w:p>
    <w:p>
      <w:pPr>
        <w:numPr>
          <w:ilvl w:val="0"/>
          <w:numId w:val="7"/>
        </w:numPr>
        <w:spacing w:line="360" w:after="210" w:lineRule="auto"/>
      </w:pPr>
      <w:r>
        <w:rPr>
          <w:rFonts w:eastAsia="source serif 4" w:cs="source serif 4" w:ascii="source serif 4" w:hAnsi="source serif 4"/>
          <w:b/>
          <w:color w:val="000000"/>
          <w:sz w:val="21"/>
        </w:rPr>
        <w:t xml:space="preserve">Préambule</w:t>
      </w:r>
    </w:p>
    <w:p>
      <w:pPr>
        <w:numPr>
          <w:ilvl w:val="1"/>
          <w:numId w:val="7"/>
        </w:numPr>
        <w:spacing w:line="360" w:before="105" w:after="105" w:lineRule="auto"/>
      </w:pPr>
      <w:r>
        <w:rPr>
          <w:rFonts w:eastAsia="source serif 4" w:cs="source serif 4" w:ascii="source serif 4" w:hAnsi="source serif 4"/>
          <w:color w:val="000000"/>
          <w:sz w:val="21"/>
        </w:rPr>
        <w:t xml:space="preserve">Rappel des valeurs de l’association (dignité, solidarité, inclusion, émancipation, éducation populaire, etc.).</w:t>
      </w:r>
    </w:p>
    <w:p>
      <w:pPr>
        <w:numPr>
          <w:ilvl w:val="1"/>
          <w:numId w:val="7"/>
        </w:numPr>
        <w:spacing w:line="360" w:before="105" w:after="105" w:lineRule="auto"/>
      </w:pPr>
      <w:r>
        <w:rPr>
          <w:rFonts w:eastAsia="source serif 4" w:cs="source serif 4" w:ascii="source serif 4" w:hAnsi="source serif 4"/>
          <w:color w:val="000000"/>
          <w:sz w:val="21"/>
        </w:rPr>
        <w:t xml:space="preserve">Rappel des grands textes de référence (UNESCO, UE, RGPD, AI Act) et de leur adaptation à l’échelle de la structure.[</w:t>
      </w:r>
      <w:r>
        <w:rPr>
          <w:rFonts w:eastAsia="source serif 4" w:cs="source serif 4" w:ascii="source serif 4" w:hAnsi="source serif 4"/>
          <w:color w:val="000000"/>
          <w:sz w:val="21"/>
          <w:vertAlign w:val="superscript"/>
        </w:rPr>
        <w:t xml:space="preserve">6][</w:t>
      </w:r>
      <w:r>
        <w:rPr>
          <w:rFonts w:eastAsia="source serif 4" w:cs="source serif 4" w:ascii="source serif 4" w:hAnsi="source serif 4"/>
          <w:color w:val="000000"/>
          <w:sz w:val="21"/>
        </w:rPr>
        <w:t xml:space="preserve">8]</w:t>
      </w:r>
    </w:p>
    <w:p>
      <w:pPr>
        <w:numPr>
          <w:ilvl w:val="0"/>
          <w:numId w:val="7"/>
        </w:numPr>
        <w:spacing w:line="360" w:after="210" w:lineRule="auto"/>
      </w:pPr>
      <w:r>
        <w:rPr>
          <w:rFonts w:eastAsia="source serif 4" w:cs="source serif 4" w:ascii="source serif 4" w:hAnsi="source serif 4"/>
          <w:b/>
          <w:color w:val="000000"/>
          <w:sz w:val="21"/>
        </w:rPr>
        <w:t xml:space="preserve">Principes généraux</w:t>
      </w:r>
    </w:p>
    <w:p>
      <w:pPr>
        <w:numPr>
          <w:ilvl w:val="1"/>
          <w:numId w:val="7"/>
        </w:numPr>
        <w:spacing w:line="360" w:before="105" w:after="105" w:lineRule="auto"/>
      </w:pPr>
      <w:r>
        <w:rPr>
          <w:rFonts w:eastAsia="source serif 4" w:cs="source serif 4" w:ascii="source serif 4" w:hAnsi="source serif 4"/>
          <w:color w:val="000000"/>
          <w:sz w:val="21"/>
        </w:rPr>
        <w:t xml:space="preserve">IA au service du projet associatif, jamais en substitution de la relation humaine.</w:t>
      </w:r>
    </w:p>
    <w:p>
      <w:pPr>
        <w:numPr>
          <w:ilvl w:val="1"/>
          <w:numId w:val="7"/>
        </w:numPr>
        <w:spacing w:line="360" w:before="105" w:after="105" w:lineRule="auto"/>
      </w:pPr>
      <w:r>
        <w:rPr>
          <w:rFonts w:eastAsia="source serif 4" w:cs="source serif 4" w:ascii="source serif 4" w:hAnsi="source serif 4"/>
          <w:color w:val="000000"/>
          <w:sz w:val="21"/>
        </w:rPr>
        <w:t xml:space="preserve">Respect des droits fondamentaux et des publics, en particulier les plus vulnérables (jeunes, personnes en situation de précarité ou de handicap).[</w:t>
      </w:r>
      <w:r>
        <w:rPr>
          <w:rFonts w:eastAsia="source serif 4" w:cs="source serif 4" w:ascii="source serif 4" w:hAnsi="source serif 4"/>
          <w:color w:val="000000"/>
          <w:sz w:val="21"/>
          <w:vertAlign w:val="superscript"/>
        </w:rPr>
        <w:t xml:space="preserve">9][</w:t>
      </w:r>
      <w:r>
        <w:rPr>
          <w:rFonts w:eastAsia="source serif 4" w:cs="source serif 4" w:ascii="source serif 4" w:hAnsi="source serif 4"/>
          <w:color w:val="000000"/>
          <w:sz w:val="21"/>
        </w:rPr>
        <w:t xml:space="preserve">6]</w:t>
      </w:r>
    </w:p>
    <w:p>
      <w:pPr>
        <w:numPr>
          <w:ilvl w:val="1"/>
          <w:numId w:val="7"/>
        </w:numPr>
        <w:spacing w:line="360" w:before="105" w:after="105" w:lineRule="auto"/>
      </w:pPr>
      <w:r>
        <w:rPr>
          <w:rFonts w:eastAsia="source serif 4" w:cs="source serif 4" w:ascii="source serif 4" w:hAnsi="source serif 4"/>
          <w:color w:val="000000"/>
          <w:sz w:val="21"/>
        </w:rPr>
        <w:t xml:space="preserve">Transparence des usages d’IA vis‑à‑vis des publics accompagnés.</w:t>
      </w:r>
    </w:p>
    <w:p>
      <w:pPr>
        <w:numPr>
          <w:ilvl w:val="0"/>
          <w:numId w:val="7"/>
        </w:numPr>
        <w:spacing w:line="360" w:after="210" w:lineRule="auto"/>
      </w:pPr>
      <w:r>
        <w:rPr>
          <w:rFonts w:eastAsia="source serif 4" w:cs="source serif 4" w:ascii="source serif 4" w:hAnsi="source serif 4"/>
          <w:b/>
          <w:color w:val="000000"/>
          <w:sz w:val="21"/>
        </w:rPr>
        <w:t xml:space="preserve">Engagements concrets</w:t>
      </w:r>
    </w:p>
    <w:p>
      <w:pPr>
        <w:numPr>
          <w:ilvl w:val="1"/>
          <w:numId w:val="7"/>
        </w:numPr>
        <w:spacing w:line="360" w:before="105" w:after="105" w:lineRule="auto"/>
      </w:pPr>
      <w:r>
        <w:rPr>
          <w:rFonts w:eastAsia="source serif 4" w:cs="source serif 4" w:ascii="source serif 4" w:hAnsi="source serif 4"/>
          <w:b/>
          <w:color w:val="000000"/>
          <w:sz w:val="21"/>
        </w:rPr>
        <w:t xml:space="preserve">Transparence</w:t>
      </w:r>
      <w:r>
        <w:rPr>
          <w:rFonts w:eastAsia="source serif 4" w:cs="source serif 4" w:ascii="source serif 4" w:hAnsi="source serif 4"/>
          <w:color w:val="000000"/>
          <w:sz w:val="21"/>
        </w:rPr>
        <w:t xml:space="preserve"> : informer les personnes lorsqu’elles interagissent avec une IA (chatbot, générateur de contenu, etc.).[^17]</w:t>
      </w:r>
    </w:p>
    <w:p>
      <w:pPr>
        <w:numPr>
          <w:ilvl w:val="1"/>
          <w:numId w:val="7"/>
        </w:numPr>
        <w:spacing w:line="360" w:before="105" w:after="105" w:lineRule="auto"/>
      </w:pPr>
      <w:r>
        <w:rPr>
          <w:rFonts w:eastAsia="source serif 4" w:cs="source serif 4" w:ascii="source serif 4" w:hAnsi="source serif 4"/>
          <w:b/>
          <w:color w:val="000000"/>
          <w:sz w:val="21"/>
        </w:rPr>
        <w:t xml:space="preserve">Protection des données</w:t>
      </w:r>
      <w:r>
        <w:rPr>
          <w:rFonts w:eastAsia="source serif 4" w:cs="source serif 4" w:ascii="source serif 4" w:hAnsi="source serif 4"/>
          <w:color w:val="000000"/>
          <w:sz w:val="21"/>
        </w:rPr>
        <w:t xml:space="preserve"> : ne pas utiliser d’outils d’IA grand public avec des données sensibles, privilégier des solutions conformes au RGPD, documenter les traitements.[</w:t>
      </w:r>
      <w:r>
        <w:rPr>
          <w:rFonts w:eastAsia="source serif 4" w:cs="source serif 4" w:ascii="source serif 4" w:hAnsi="source serif 4"/>
          <w:color w:val="000000"/>
          <w:sz w:val="21"/>
          <w:vertAlign w:val="superscript"/>
        </w:rPr>
        <w:t xml:space="preserve">1][</w:t>
      </w:r>
      <w:r>
        <w:rPr>
          <w:rFonts w:eastAsia="source serif 4" w:cs="source serif 4" w:ascii="source serif 4" w:hAnsi="source serif 4"/>
          <w:color w:val="000000"/>
          <w:sz w:val="21"/>
        </w:rPr>
        <w:t xml:space="preserve">2]</w:t>
      </w:r>
    </w:p>
    <w:p>
      <w:pPr>
        <w:numPr>
          <w:ilvl w:val="1"/>
          <w:numId w:val="7"/>
        </w:numPr>
        <w:spacing w:line="360" w:before="105" w:after="105" w:lineRule="auto"/>
      </w:pPr>
      <w:r>
        <w:rPr>
          <w:rFonts w:eastAsia="source serif 4" w:cs="source serif 4" w:ascii="source serif 4" w:hAnsi="source serif 4"/>
          <w:b/>
          <w:color w:val="000000"/>
          <w:sz w:val="21"/>
        </w:rPr>
        <w:t xml:space="preserve">Non‑discrimination et biais</w:t>
      </w:r>
      <w:r>
        <w:rPr>
          <w:rFonts w:eastAsia="source serif 4" w:cs="source serif 4" w:ascii="source serif 4" w:hAnsi="source serif 4"/>
          <w:color w:val="000000"/>
          <w:sz w:val="21"/>
        </w:rPr>
        <w:t xml:space="preserve"> : évaluer les risques de biais et mettre en place des garde‑fous (relecture humaine, diversification des sources, recours à des outils d’analyse).[</w:t>
      </w:r>
      <w:r>
        <w:rPr>
          <w:rFonts w:eastAsia="source serif 4" w:cs="source serif 4" w:ascii="source serif 4" w:hAnsi="source serif 4"/>
          <w:color w:val="000000"/>
          <w:sz w:val="21"/>
          <w:vertAlign w:val="superscript"/>
        </w:rPr>
        <w:t xml:space="preserve">8][</w:t>
      </w:r>
      <w:r>
        <w:rPr>
          <w:rFonts w:eastAsia="source serif 4" w:cs="source serif 4" w:ascii="source serif 4" w:hAnsi="source serif 4"/>
          <w:color w:val="000000"/>
          <w:sz w:val="21"/>
        </w:rPr>
        <w:t xml:space="preserve">9]</w:t>
      </w:r>
    </w:p>
    <w:p>
      <w:pPr>
        <w:numPr>
          <w:ilvl w:val="1"/>
          <w:numId w:val="7"/>
        </w:numPr>
        <w:spacing w:line="360" w:before="105" w:after="105" w:lineRule="auto"/>
      </w:pPr>
      <w:r>
        <w:rPr>
          <w:rFonts w:eastAsia="source serif 4" w:cs="source serif 4" w:ascii="source serif 4" w:hAnsi="source serif 4"/>
          <w:b/>
          <w:color w:val="000000"/>
          <w:sz w:val="21"/>
        </w:rPr>
        <w:t xml:space="preserve">Sobriété numérique</w:t>
      </w:r>
      <w:r>
        <w:rPr>
          <w:rFonts w:eastAsia="source serif 4" w:cs="source serif 4" w:ascii="source serif 4" w:hAnsi="source serif 4"/>
          <w:color w:val="000000"/>
          <w:sz w:val="21"/>
        </w:rPr>
        <w:t xml:space="preserve"> : limiter les usages superflus, privilégier les cas d’usage à forte valeur sociale, tenir compte de l’empreinte environnementale.[</w:t>
      </w:r>
      <w:r>
        <w:rPr>
          <w:rFonts w:eastAsia="source serif 4" w:cs="source serif 4" w:ascii="source serif 4" w:hAnsi="source serif 4"/>
          <w:color w:val="000000"/>
          <w:sz w:val="21"/>
          <w:vertAlign w:val="superscript"/>
        </w:rPr>
        <w:t xml:space="preserve">4][</w:t>
      </w:r>
      <w:r>
        <w:rPr>
          <w:rFonts w:eastAsia="source serif 4" w:cs="source serif 4" w:ascii="source serif 4" w:hAnsi="source serif 4"/>
          <w:color w:val="000000"/>
          <w:sz w:val="21"/>
        </w:rPr>
        <w:t xml:space="preserve">16]</w:t>
      </w:r>
    </w:p>
    <w:p>
      <w:pPr>
        <w:numPr>
          <w:ilvl w:val="1"/>
          <w:numId w:val="7"/>
        </w:numPr>
        <w:spacing w:line="360" w:before="105" w:after="105" w:lineRule="auto"/>
      </w:pPr>
      <w:r>
        <w:rPr>
          <w:rFonts w:eastAsia="source serif 4" w:cs="source serif 4" w:ascii="source serif 4" w:hAnsi="source serif 4"/>
          <w:b/>
          <w:color w:val="000000"/>
          <w:sz w:val="21"/>
        </w:rPr>
        <w:t xml:space="preserve">Souveraineté et choix des outils</w:t>
      </w:r>
      <w:r>
        <w:rPr>
          <w:rFonts w:eastAsia="source serif 4" w:cs="source serif 4" w:ascii="source serif 4" w:hAnsi="source serif 4"/>
          <w:color w:val="000000"/>
          <w:sz w:val="21"/>
        </w:rPr>
        <w:t xml:space="preserve"> : privilégier des solutions respectueuses des droits, idéalement européennes ou ouvertes, lorsque c’est réaliste.[</w:t>
      </w:r>
      <w:r>
        <w:rPr>
          <w:rFonts w:eastAsia="source serif 4" w:cs="source serif 4" w:ascii="source serif 4" w:hAnsi="source serif 4"/>
          <w:color w:val="000000"/>
          <w:sz w:val="21"/>
          <w:vertAlign w:val="superscript"/>
        </w:rPr>
        <w:t xml:space="preserve">18][</w:t>
      </w:r>
      <w:r>
        <w:rPr>
          <w:rFonts w:eastAsia="source serif 4" w:cs="source serif 4" w:ascii="source serif 4" w:hAnsi="source serif 4"/>
          <w:color w:val="000000"/>
          <w:sz w:val="21"/>
        </w:rPr>
        <w:t xml:space="preserve">16]</w:t>
      </w:r>
    </w:p>
    <w:p>
      <w:pPr>
        <w:numPr>
          <w:ilvl w:val="0"/>
          <w:numId w:val="7"/>
        </w:numPr>
        <w:spacing w:line="360" w:after="210" w:lineRule="auto"/>
      </w:pPr>
      <w:r>
        <w:rPr>
          <w:rFonts w:eastAsia="source serif 4" w:cs="source serif 4" w:ascii="source serif 4" w:hAnsi="source serif 4"/>
          <w:b/>
          <w:color w:val="000000"/>
          <w:sz w:val="21"/>
        </w:rPr>
        <w:t xml:space="preserve">Gouvernance et mise en œuvre</w:t>
      </w:r>
    </w:p>
    <w:p>
      <w:pPr>
        <w:numPr>
          <w:ilvl w:val="1"/>
          <w:numId w:val="7"/>
        </w:numPr>
        <w:spacing w:line="360" w:before="105" w:after="105" w:lineRule="auto"/>
      </w:pPr>
      <w:r>
        <w:rPr>
          <w:rFonts w:eastAsia="source serif 4" w:cs="source serif 4" w:ascii="source serif 4" w:hAnsi="source serif 4"/>
          <w:color w:val="000000"/>
          <w:sz w:val="21"/>
        </w:rPr>
        <w:t xml:space="preserve">Désignation d’un référent (ou d’un petit groupe) « IA et numérique responsable ».</w:t>
      </w:r>
    </w:p>
    <w:p>
      <w:pPr>
        <w:numPr>
          <w:ilvl w:val="1"/>
          <w:numId w:val="7"/>
        </w:numPr>
        <w:spacing w:line="360" w:before="105" w:after="105" w:lineRule="auto"/>
      </w:pPr>
      <w:r>
        <w:rPr>
          <w:rFonts w:eastAsia="source serif 4" w:cs="source serif 4" w:ascii="source serif 4" w:hAnsi="source serif 4"/>
          <w:color w:val="000000"/>
          <w:sz w:val="21"/>
        </w:rPr>
        <w:t xml:space="preserve">Modalités de révision régulière de la charte.</w:t>
      </w:r>
    </w:p>
    <w:p>
      <w:pPr>
        <w:numPr>
          <w:ilvl w:val="1"/>
          <w:numId w:val="7"/>
        </w:numPr>
        <w:spacing w:line="360" w:before="105" w:after="105" w:lineRule="auto"/>
      </w:pPr>
      <w:r>
        <w:rPr>
          <w:rFonts w:eastAsia="source serif 4" w:cs="source serif 4" w:ascii="source serif 4" w:hAnsi="source serif 4"/>
          <w:color w:val="000000"/>
          <w:sz w:val="21"/>
        </w:rPr>
        <w:t xml:space="preserve">Modalités de signalement des dérives ou incidents.</w:t>
      </w:r>
    </w:p>
    <w:p>
      <w:pPr>
        <w:spacing w:line="360" w:before="315" w:after="105" w:lineRule="auto"/>
        <w:ind w:left="-30"/>
        <w:jc w:val="left"/>
      </w:pPr>
      <w:bookmarkStart w:id="10" w:name="bm_3_4_processus_de_co_constructi_1e674b"/>
      <w:r>
        <w:rPr>
          <w:rFonts w:eastAsia="source serif 4" w:cs="source serif 4" w:ascii="source serif 4" w:hAnsi="source serif 4"/>
          <w:b/>
          <w:color w:val="000000"/>
          <w:sz w:val="24"/>
        </w:rPr>
        <w:t xml:space="preserve">3.4. Processus de co‑construction de la charte</w:t>
      </w:r>
      <w:bookmarkEnd w:id="10"/>
    </w:p>
    <w:p>
      <w:pPr>
        <w:spacing w:line="360" w:after="210" w:lineRule="auto"/>
      </w:pPr>
      <w:r>
        <w:rPr>
          <w:rFonts w:eastAsia="source serif 4" w:cs="source serif 4" w:ascii="source serif 4" w:hAnsi="source serif 4"/>
          <w:color w:val="000000"/>
        </w:rPr>
        <w:t xml:space="preserve">Des ressources comme celles de l’INR ou de l’ISIT Europe recommandent une co‑construction de la charte, associant les parties prenantes (salariés, bénévoles, publics, partenaires) plutôt qu’une rédaction uniquement descendante. Un processus type pourrait comporter :[</w:t>
      </w:r>
      <w:r>
        <w:rPr>
          <w:rFonts w:eastAsia="source serif 4" w:cs="source serif 4" w:ascii="source serif 4" w:hAnsi="source serif 4"/>
          <w:color w:val="000000"/>
          <w:vertAlign w:val="superscript"/>
        </w:rPr>
        <w:t xml:space="preserve">19][</w:t>
      </w:r>
      <w:r>
        <w:rPr>
          <w:rFonts w:eastAsia="source serif 4" w:cs="source serif 4" w:ascii="source serif 4" w:hAnsi="source serif 4"/>
          <w:color w:val="000000"/>
        </w:rPr>
        <w:t xml:space="preserve">16][^4]</w:t>
      </w:r>
    </w:p>
    <w:p>
      <w:pPr>
        <w:numPr>
          <w:ilvl w:val="0"/>
          <w:numId w:val="8"/>
        </w:numPr>
        <w:spacing w:line="360" w:before="105" w:after="105" w:lineRule="auto"/>
      </w:pPr>
      <w:r>
        <w:rPr>
          <w:rFonts w:eastAsia="source serif 4" w:cs="source serif 4" w:ascii="source serif 4" w:hAnsi="source serif 4"/>
          <w:color w:val="000000"/>
          <w:sz w:val="21"/>
        </w:rPr>
        <w:t xml:space="preserve">Atelier de diagnostic partagé (voir section 2).</w:t>
      </w:r>
    </w:p>
    <w:p>
      <w:pPr>
        <w:numPr>
          <w:ilvl w:val="0"/>
          <w:numId w:val="8"/>
        </w:numPr>
        <w:spacing w:line="360" w:before="105" w:after="105" w:lineRule="auto"/>
      </w:pPr>
      <w:r>
        <w:rPr>
          <w:rFonts w:eastAsia="source serif 4" w:cs="source serif 4" w:ascii="source serif 4" w:hAnsi="source serif 4"/>
          <w:color w:val="000000"/>
          <w:sz w:val="21"/>
        </w:rPr>
        <w:t xml:space="preserve">Atelier de formulation des principes souhaités (valeurs, craintes, espoirs) autour de l’IA.</w:t>
      </w:r>
    </w:p>
    <w:p>
      <w:pPr>
        <w:numPr>
          <w:ilvl w:val="0"/>
          <w:numId w:val="8"/>
        </w:numPr>
        <w:spacing w:line="360" w:before="105" w:after="105" w:lineRule="auto"/>
      </w:pPr>
      <w:r>
        <w:rPr>
          <w:rFonts w:eastAsia="source serif 4" w:cs="source serif 4" w:ascii="source serif 4" w:hAnsi="source serif 4"/>
          <w:color w:val="000000"/>
          <w:sz w:val="21"/>
        </w:rPr>
        <w:t xml:space="preserve">Rédaction d’un premier projet de charte par un petit groupe.</w:t>
      </w:r>
    </w:p>
    <w:p>
      <w:pPr>
        <w:numPr>
          <w:ilvl w:val="0"/>
          <w:numId w:val="8"/>
        </w:numPr>
        <w:spacing w:line="360" w:before="105" w:after="105" w:lineRule="auto"/>
      </w:pPr>
      <w:r>
        <w:rPr>
          <w:rFonts w:eastAsia="source serif 4" w:cs="source serif 4" w:ascii="source serif 4" w:hAnsi="source serif 4"/>
          <w:color w:val="000000"/>
          <w:sz w:val="21"/>
        </w:rPr>
        <w:t xml:space="preserve">Consultation interne (retours, amendements).</w:t>
      </w:r>
    </w:p>
    <w:p>
      <w:pPr>
        <w:numPr>
          <w:ilvl w:val="0"/>
          <w:numId w:val="8"/>
        </w:numPr>
        <w:spacing w:line="360" w:before="105" w:after="105" w:lineRule="auto"/>
      </w:pPr>
      <w:r>
        <w:rPr>
          <w:rFonts w:eastAsia="source serif 4" w:cs="source serif 4" w:ascii="source serif 4" w:hAnsi="source serif 4"/>
          <w:color w:val="000000"/>
          <w:sz w:val="21"/>
        </w:rPr>
        <w:t xml:space="preserve">Adoption formelle par le conseil d’administration ou l’organe de gouvernance.</w:t>
      </w:r>
    </w:p>
    <w:p>
      <w:pPr>
        <w:numPr>
          <w:ilvl w:val="0"/>
          <w:numId w:val="8"/>
        </w:numPr>
        <w:spacing w:line="360" w:before="105" w:after="105" w:lineRule="auto"/>
      </w:pPr>
      <w:r>
        <w:rPr>
          <w:rFonts w:eastAsia="source serif 4" w:cs="source serif 4" w:ascii="source serif 4" w:hAnsi="source serif 4"/>
          <w:color w:val="000000"/>
          <w:sz w:val="21"/>
        </w:rPr>
        <w:t xml:space="preserve">Communication (présentation en équipe, affichage, diffusion aux publics, intégration dans les documents d’accueil).</w:t>
      </w:r>
    </w:p>
    <w:p>
      <w:pPr>
        <w:spacing w:line="360" w:before="315" w:after="105" w:lineRule="auto"/>
        <w:ind w:left="-30"/>
        <w:jc w:val="left"/>
      </w:pPr>
      <w:bookmarkStart w:id="11" w:name="bm_4_élaborer_une_feuille_de_rout_729b47"/>
      <w:r>
        <w:rPr>
          <w:rFonts w:eastAsia="source serif 4" w:cs="source serif 4" w:ascii="source serif 4" w:hAnsi="source serif 4"/>
          <w:b/>
          <w:color w:val="000000"/>
          <w:sz w:val="24"/>
        </w:rPr>
        <w:t xml:space="preserve">4. Élaborer une feuille de route personnelle et collective</w:t>
      </w:r>
      <w:bookmarkEnd w:id="11"/>
    </w:p>
    <w:p>
      <w:pPr>
        <w:spacing w:line="360" w:before="315" w:after="105" w:lineRule="auto"/>
        <w:ind w:left="-30"/>
        <w:jc w:val="left"/>
      </w:pPr>
      <w:bookmarkStart w:id="12" w:name="bm_4_1_pourquoi_une_feuille_de_route"/>
      <w:r>
        <w:rPr>
          <w:rFonts w:eastAsia="source serif 4" w:cs="source serif 4" w:ascii="source serif 4" w:hAnsi="source serif 4"/>
          <w:b/>
          <w:color w:val="000000"/>
          <w:sz w:val="24"/>
        </w:rPr>
        <w:t xml:space="preserve">4.1. Pourquoi une feuille de route ?</w:t>
      </w:r>
      <w:bookmarkEnd w:id="12"/>
    </w:p>
    <w:p>
      <w:pPr>
        <w:spacing w:line="360" w:after="210" w:lineRule="auto"/>
      </w:pPr>
      <w:r>
        <w:rPr>
          <w:rFonts w:eastAsia="source serif 4" w:cs="source serif 4" w:ascii="source serif 4" w:hAnsi="source serif 4"/>
          <w:color w:val="000000"/>
        </w:rPr>
        <w:t xml:space="preserve">Les chartes et diagnostics n’ont d’impact que s’ils s’accompagnent d’actions concrètes, planifiées dans le temps. De nombreux dispositifs de charte numérique responsable prévoient une trajectoire d’engagement en plusieurs étapes, avec des objectifs progressifs. Pour une association, il est utile de formaliser une </w:t>
      </w:r>
      <w:r>
        <w:rPr>
          <w:rFonts w:eastAsia="source serif 4" w:cs="source serif 4" w:ascii="source serif 4" w:hAnsi="source serif 4"/>
          <w:b/>
          <w:color w:val="000000"/>
        </w:rPr>
        <w:t xml:space="preserve">feuille de route IA</w:t>
      </w:r>
      <w:r>
        <w:rPr>
          <w:rFonts w:eastAsia="source serif 4" w:cs="source serif 4" w:ascii="source serif 4" w:hAnsi="source serif 4"/>
          <w:color w:val="000000"/>
        </w:rPr>
        <w:t xml:space="preserve"> qui distingue :[</w:t>
      </w:r>
      <w:r>
        <w:rPr>
          <w:rFonts w:eastAsia="source serif 4" w:cs="source serif 4" w:ascii="source serif 4" w:hAnsi="source serif 4"/>
          <w:color w:val="000000"/>
          <w:vertAlign w:val="superscript"/>
        </w:rPr>
        <w:t xml:space="preserve">16][</w:t>
      </w:r>
      <w:r>
        <w:rPr>
          <w:rFonts w:eastAsia="source serif 4" w:cs="source serif 4" w:ascii="source serif 4" w:hAnsi="source serif 4"/>
          <w:color w:val="000000"/>
        </w:rPr>
        <w:t xml:space="preserve">4]</w:t>
      </w:r>
    </w:p>
    <w:p>
      <w:pPr>
        <w:numPr>
          <w:ilvl w:val="0"/>
          <w:numId w:val="9"/>
        </w:numPr>
        <w:spacing w:line="360" w:before="105" w:after="105" w:lineRule="auto"/>
      </w:pPr>
      <w:r>
        <w:rPr>
          <w:rFonts w:eastAsia="source serif 4" w:cs="source serif 4" w:ascii="source serif 4" w:hAnsi="source serif 4"/>
          <w:color w:val="000000"/>
          <w:sz w:val="21"/>
        </w:rPr>
        <w:t xml:space="preserve">Les actions à court terme (moins de 6 mois) : mises en conformité urgentes, premières règles simples, formations de base.</w:t>
      </w:r>
    </w:p>
    <w:p>
      <w:pPr>
        <w:numPr>
          <w:ilvl w:val="0"/>
          <w:numId w:val="9"/>
        </w:numPr>
        <w:spacing w:line="360" w:before="105" w:after="105" w:lineRule="auto"/>
      </w:pPr>
      <w:r>
        <w:rPr>
          <w:rFonts w:eastAsia="source serif 4" w:cs="source serif 4" w:ascii="source serif 4" w:hAnsi="source serif 4"/>
          <w:color w:val="000000"/>
          <w:sz w:val="21"/>
        </w:rPr>
        <w:t xml:space="preserve">Les actions à moyen terme (6–24 mois) : intégration de l’IA dans les projets, choix de fournisseurs, développement de nouvelles compétences.</w:t>
      </w:r>
    </w:p>
    <w:p>
      <w:pPr>
        <w:numPr>
          <w:ilvl w:val="0"/>
          <w:numId w:val="9"/>
        </w:numPr>
        <w:spacing w:line="360" w:before="105" w:after="105" w:lineRule="auto"/>
      </w:pPr>
      <w:r>
        <w:rPr>
          <w:rFonts w:eastAsia="source serif 4" w:cs="source serif 4" w:ascii="source serif 4" w:hAnsi="source serif 4"/>
          <w:color w:val="000000"/>
          <w:sz w:val="21"/>
        </w:rPr>
        <w:t xml:space="preserve">Les perspectives de long terme (au‑delà de 2 ans) : gouvernance des données, participation des publics à la définition des usages, articulation avec la stratégie globale de la structure.</w:t>
      </w:r>
    </w:p>
    <w:p>
      <w:pPr>
        <w:spacing w:line="360" w:before="315" w:after="105" w:lineRule="auto"/>
        <w:ind w:left="-30"/>
        <w:jc w:val="left"/>
      </w:pPr>
      <w:bookmarkStart w:id="13" w:name="bm_4_2_court_terme_sécuriser_et_c_ee7325"/>
      <w:r>
        <w:rPr>
          <w:rFonts w:eastAsia="source serif 4" w:cs="source serif 4" w:ascii="source serif 4" w:hAnsi="source serif 4"/>
          <w:b/>
          <w:color w:val="000000"/>
          <w:sz w:val="24"/>
        </w:rPr>
        <w:t xml:space="preserve">4.2. Court terme : sécuriser et clarifier (0–6 mois)</w:t>
      </w:r>
      <w:bookmarkEnd w:id="13"/>
    </w:p>
    <w:p>
      <w:pPr>
        <w:spacing w:line="360" w:after="210" w:lineRule="auto"/>
      </w:pPr>
      <w:r>
        <w:rPr>
          <w:rFonts w:eastAsia="source serif 4" w:cs="source serif 4" w:ascii="source serif 4" w:hAnsi="source serif 4"/>
          <w:color w:val="000000"/>
        </w:rPr>
        <w:t xml:space="preserve">Au court terme, la feuille de route peut viser :</w:t>
      </w:r>
    </w:p>
    <w:p>
      <w:pPr>
        <w:numPr>
          <w:ilvl w:val="0"/>
          <w:numId w:val="10"/>
        </w:numPr>
        <w:spacing w:line="360" w:before="105" w:after="105" w:lineRule="auto"/>
      </w:pPr>
      <w:r>
        <w:rPr>
          <w:rFonts w:eastAsia="source serif 4" w:cs="source serif 4" w:ascii="source serif 4" w:hAnsi="source serif 4"/>
          <w:b/>
          <w:color w:val="000000"/>
          <w:sz w:val="21"/>
        </w:rPr>
        <w:t xml:space="preserve">Formaliser des règles simples</w:t>
      </w:r>
      <w:r>
        <w:rPr>
          <w:rFonts w:eastAsia="source serif 4" w:cs="source serif 4" w:ascii="source serif 4" w:hAnsi="source serif 4"/>
          <w:color w:val="000000"/>
          <w:sz w:val="21"/>
        </w:rPr>
        <w:t xml:space="preserve"> : pas de données sensibles dans les IA grand public, relecture systématique des contenus générés, obligation d’indiquer lorsqu’un texte est largement produit par IA, etc.[</w:t>
      </w:r>
      <w:r>
        <w:rPr>
          <w:rFonts w:eastAsia="source serif 4" w:cs="source serif 4" w:ascii="source serif 4" w:hAnsi="source serif 4"/>
          <w:color w:val="000000"/>
          <w:sz w:val="21"/>
          <w:vertAlign w:val="superscript"/>
        </w:rPr>
        <w:t xml:space="preserve">3][</w:t>
      </w:r>
      <w:r>
        <w:rPr>
          <w:rFonts w:eastAsia="source serif 4" w:cs="source serif 4" w:ascii="source serif 4" w:hAnsi="source serif 4"/>
          <w:color w:val="000000"/>
          <w:sz w:val="21"/>
        </w:rPr>
        <w:t xml:space="preserve">17]</w:t>
      </w:r>
    </w:p>
    <w:p>
      <w:pPr>
        <w:numPr>
          <w:ilvl w:val="0"/>
          <w:numId w:val="10"/>
        </w:numPr>
        <w:spacing w:line="360" w:before="105" w:after="105" w:lineRule="auto"/>
      </w:pPr>
      <w:r>
        <w:rPr>
          <w:rFonts w:eastAsia="source serif 4" w:cs="source serif 4" w:ascii="source serif 4" w:hAnsi="source serif 4"/>
          <w:b/>
          <w:color w:val="000000"/>
          <w:sz w:val="21"/>
        </w:rPr>
        <w:t xml:space="preserve">Repérer les usages les plus risqués</w:t>
      </w:r>
      <w:r>
        <w:rPr>
          <w:rFonts w:eastAsia="source serif 4" w:cs="source serif 4" w:ascii="source serif 4" w:hAnsi="source serif 4"/>
          <w:color w:val="000000"/>
          <w:sz w:val="21"/>
        </w:rPr>
        <w:t xml:space="preserve"> (données sensibles, décisions automatisées) et, si nécessaire, les suspendre en attendant une analyse plus approfondie (RGPD, AI Act).[</w:t>
      </w:r>
      <w:r>
        <w:rPr>
          <w:rFonts w:eastAsia="source serif 4" w:cs="source serif 4" w:ascii="source serif 4" w:hAnsi="source serif 4"/>
          <w:color w:val="000000"/>
          <w:sz w:val="21"/>
          <w:vertAlign w:val="superscript"/>
        </w:rPr>
        <w:t xml:space="preserve">20][</w:t>
      </w:r>
      <w:r>
        <w:rPr>
          <w:rFonts w:eastAsia="source serif 4" w:cs="source serif 4" w:ascii="source serif 4" w:hAnsi="source serif 4"/>
          <w:color w:val="000000"/>
          <w:sz w:val="21"/>
        </w:rPr>
        <w:t xml:space="preserve">2]</w:t>
      </w:r>
    </w:p>
    <w:p>
      <w:pPr>
        <w:numPr>
          <w:ilvl w:val="0"/>
          <w:numId w:val="10"/>
        </w:numPr>
        <w:spacing w:line="360" w:before="105" w:after="105" w:lineRule="auto"/>
      </w:pPr>
      <w:r>
        <w:rPr>
          <w:rFonts w:eastAsia="source serif 4" w:cs="source serif 4" w:ascii="source serif 4" w:hAnsi="source serif 4"/>
          <w:b/>
          <w:color w:val="000000"/>
          <w:sz w:val="21"/>
        </w:rPr>
        <w:t xml:space="preserve">Organiser une première sensibilisation interne</w:t>
      </w:r>
      <w:r>
        <w:rPr>
          <w:rFonts w:eastAsia="source serif 4" w:cs="source serif 4" w:ascii="source serif 4" w:hAnsi="source serif 4"/>
          <w:color w:val="000000"/>
          <w:sz w:val="21"/>
        </w:rPr>
        <w:t xml:space="preserve"> : séminaire, atelier, partage de ressources (INR, UNESCO, chartes publiques).[</w:t>
      </w:r>
      <w:r>
        <w:rPr>
          <w:rFonts w:eastAsia="source serif 4" w:cs="source serif 4" w:ascii="source serif 4" w:hAnsi="source serif 4"/>
          <w:color w:val="000000"/>
          <w:sz w:val="21"/>
          <w:vertAlign w:val="superscript"/>
        </w:rPr>
        <w:t xml:space="preserve">11][</w:t>
      </w:r>
      <w:r>
        <w:rPr>
          <w:rFonts w:eastAsia="source serif 4" w:cs="source serif 4" w:ascii="source serif 4" w:hAnsi="source serif 4"/>
          <w:color w:val="000000"/>
          <w:sz w:val="21"/>
        </w:rPr>
        <w:t xml:space="preserve">4][^6]</w:t>
      </w:r>
    </w:p>
    <w:p>
      <w:pPr>
        <w:spacing w:line="360" w:before="315" w:after="105" w:lineRule="auto"/>
        <w:ind w:left="-30"/>
        <w:jc w:val="left"/>
      </w:pPr>
      <w:bookmarkStart w:id="14" w:name="bm_4_3_moyen_terme_intégrer_l_ia_194976"/>
      <w:r>
        <w:rPr>
          <w:rFonts w:eastAsia="source serif 4" w:cs="source serif 4" w:ascii="source serif 4" w:hAnsi="source serif 4"/>
          <w:b/>
          <w:color w:val="000000"/>
          <w:sz w:val="24"/>
        </w:rPr>
        <w:t xml:space="preserve">4.3. Moyen terme : intégrer l’IA dans le projet associatif (6–24 mois)</w:t>
      </w:r>
      <w:bookmarkEnd w:id="14"/>
    </w:p>
    <w:p>
      <w:pPr>
        <w:spacing w:line="360" w:after="210" w:lineRule="auto"/>
      </w:pPr>
      <w:r>
        <w:rPr>
          <w:rFonts w:eastAsia="source serif 4" w:cs="source serif 4" w:ascii="source serif 4" w:hAnsi="source serif 4"/>
          <w:color w:val="000000"/>
        </w:rPr>
        <w:t xml:space="preserve">Sur 6 à 24 mois, l’association peut :</w:t>
      </w:r>
    </w:p>
    <w:p>
      <w:pPr>
        <w:numPr>
          <w:ilvl w:val="0"/>
          <w:numId w:val="11"/>
        </w:numPr>
        <w:spacing w:line="360" w:before="105" w:after="105" w:lineRule="auto"/>
      </w:pPr>
      <w:r>
        <w:rPr>
          <w:rFonts w:eastAsia="source serif 4" w:cs="source serif 4" w:ascii="source serif 4" w:hAnsi="source serif 4"/>
          <w:b/>
          <w:color w:val="000000"/>
          <w:sz w:val="21"/>
        </w:rPr>
        <w:t xml:space="preserve">Décliner la charte en procédures et outils</w:t>
      </w:r>
      <w:r>
        <w:rPr>
          <w:rFonts w:eastAsia="source serif 4" w:cs="source serif 4" w:ascii="source serif 4" w:hAnsi="source serif 4"/>
          <w:color w:val="000000"/>
          <w:sz w:val="21"/>
        </w:rPr>
        <w:t xml:space="preserve"> : fiches de bonnes pratiques, clauses contractuelles dans les marchés publics et partenariats, critères de choix de fournisseurs (conformité, impact environnemental, souveraineté).[</w:t>
      </w:r>
      <w:r>
        <w:rPr>
          <w:rFonts w:eastAsia="source serif 4" w:cs="source serif 4" w:ascii="source serif 4" w:hAnsi="source serif 4"/>
          <w:color w:val="000000"/>
          <w:sz w:val="21"/>
          <w:vertAlign w:val="superscript"/>
        </w:rPr>
        <w:t xml:space="preserve">7][</w:t>
      </w:r>
      <w:r>
        <w:rPr>
          <w:rFonts w:eastAsia="source serif 4" w:cs="source serif 4" w:ascii="source serif 4" w:hAnsi="source serif 4"/>
          <w:color w:val="000000"/>
          <w:sz w:val="21"/>
        </w:rPr>
        <w:t xml:space="preserve">4][^16]</w:t>
      </w:r>
    </w:p>
    <w:p>
      <w:pPr>
        <w:numPr>
          <w:ilvl w:val="0"/>
          <w:numId w:val="11"/>
        </w:numPr>
        <w:spacing w:line="360" w:before="105" w:after="105" w:lineRule="auto"/>
      </w:pPr>
      <w:r>
        <w:rPr>
          <w:rFonts w:eastAsia="source serif 4" w:cs="source serif 4" w:ascii="source serif 4" w:hAnsi="source serif 4"/>
          <w:b/>
          <w:color w:val="000000"/>
          <w:sz w:val="21"/>
        </w:rPr>
        <w:t xml:space="preserve">Renforcer les compétences</w:t>
      </w:r>
      <w:r>
        <w:rPr>
          <w:rFonts w:eastAsia="source serif 4" w:cs="source serif 4" w:ascii="source serif 4" w:hAnsi="source serif 4"/>
          <w:color w:val="000000"/>
          <w:sz w:val="21"/>
        </w:rPr>
        <w:t xml:space="preserve"> : formations plus approfondies pour certaines fonctions (direction, communication, accompagnement, médiation numérique), participation à des réseaux ou communautés sur l’IA responsable.[</w:t>
      </w:r>
      <w:r>
        <w:rPr>
          <w:rFonts w:eastAsia="source serif 4" w:cs="source serif 4" w:ascii="source serif 4" w:hAnsi="source serif 4"/>
          <w:color w:val="000000"/>
          <w:sz w:val="21"/>
          <w:vertAlign w:val="superscript"/>
        </w:rPr>
        <w:t xml:space="preserve">15][</w:t>
      </w:r>
      <w:r>
        <w:rPr>
          <w:rFonts w:eastAsia="source serif 4" w:cs="source serif 4" w:ascii="source serif 4" w:hAnsi="source serif 4"/>
          <w:color w:val="000000"/>
          <w:sz w:val="21"/>
        </w:rPr>
        <w:t xml:space="preserve">4]</w:t>
      </w:r>
    </w:p>
    <w:p>
      <w:pPr>
        <w:numPr>
          <w:ilvl w:val="0"/>
          <w:numId w:val="11"/>
        </w:numPr>
        <w:spacing w:line="360" w:before="105" w:after="105" w:lineRule="auto"/>
      </w:pPr>
      <w:r>
        <w:rPr>
          <w:rFonts w:eastAsia="source serif 4" w:cs="source serif 4" w:ascii="source serif 4" w:hAnsi="source serif 4"/>
          <w:b/>
          <w:color w:val="000000"/>
          <w:sz w:val="21"/>
        </w:rPr>
        <w:t xml:space="preserve">Tester des cas d’usage à forte valeur sociale</w:t>
      </w:r>
      <w:r>
        <w:rPr>
          <w:rFonts w:eastAsia="source serif 4" w:cs="source serif 4" w:ascii="source serif 4" w:hAnsi="source serif 4"/>
          <w:color w:val="000000"/>
          <w:sz w:val="21"/>
        </w:rPr>
        <w:t xml:space="preserve"> : par exemple, aide à la rédaction de CV, traduction pour des publics allophones, outils de synthèse de textes pour des publics spécifiques, en respectant les règles posées.[</w:t>
      </w:r>
      <w:r>
        <w:rPr>
          <w:rFonts w:eastAsia="source serif 4" w:cs="source serif 4" w:ascii="source serif 4" w:hAnsi="source serif 4"/>
          <w:color w:val="000000"/>
          <w:sz w:val="21"/>
          <w:vertAlign w:val="superscript"/>
        </w:rPr>
        <w:t xml:space="preserve">2][</w:t>
      </w:r>
      <w:r>
        <w:rPr>
          <w:rFonts w:eastAsia="source serif 4" w:cs="source serif 4" w:ascii="source serif 4" w:hAnsi="source serif 4"/>
          <w:color w:val="000000"/>
          <w:sz w:val="21"/>
        </w:rPr>
        <w:t xml:space="preserve">3]</w:t>
      </w:r>
    </w:p>
    <w:p>
      <w:pPr>
        <w:spacing w:line="360" w:before="315" w:after="105" w:lineRule="auto"/>
        <w:ind w:left="-30"/>
        <w:jc w:val="left"/>
      </w:pPr>
      <w:bookmarkStart w:id="15" w:name="bm_4_4_long_terme_gouvernance_par_19ffc1"/>
      <w:r>
        <w:rPr>
          <w:rFonts w:eastAsia="source serif 4" w:cs="source serif 4" w:ascii="source serif 4" w:hAnsi="source serif 4"/>
          <w:b/>
          <w:color w:val="000000"/>
          <w:sz w:val="24"/>
        </w:rPr>
        <w:t xml:space="preserve">4.4. Long terme : gouvernance, participation et amélioration continue</w:t>
      </w:r>
      <w:bookmarkEnd w:id="15"/>
    </w:p>
    <w:p>
      <w:pPr>
        <w:spacing w:line="360" w:after="210" w:lineRule="auto"/>
      </w:pPr>
      <w:r>
        <w:rPr>
          <w:rFonts w:eastAsia="source serif 4" w:cs="source serif 4" w:ascii="source serif 4" w:hAnsi="source serif 4"/>
          <w:color w:val="000000"/>
        </w:rPr>
        <w:t xml:space="preserve">À plus long terme, la structure peut :</w:t>
      </w:r>
    </w:p>
    <w:p>
      <w:pPr>
        <w:numPr>
          <w:ilvl w:val="0"/>
          <w:numId w:val="12"/>
        </w:numPr>
        <w:spacing w:line="360" w:before="105" w:after="105" w:lineRule="auto"/>
      </w:pPr>
      <w:r>
        <w:rPr>
          <w:rFonts w:eastAsia="source serif 4" w:cs="source serif 4" w:ascii="source serif 4" w:hAnsi="source serif 4"/>
          <w:b/>
          <w:color w:val="000000"/>
          <w:sz w:val="21"/>
        </w:rPr>
        <w:t xml:space="preserve">Intégrer l’IA dans sa gouvernance</w:t>
      </w:r>
      <w:r>
        <w:rPr>
          <w:rFonts w:eastAsia="source serif 4" w:cs="source serif 4" w:ascii="source serif 4" w:hAnsi="source serif 4"/>
          <w:color w:val="000000"/>
          <w:sz w:val="21"/>
        </w:rPr>
        <w:t xml:space="preserve"> : instance de suivi de la charte, bilans annuels, prise en compte des enjeux IA dans les projets et financements.[</w:t>
      </w:r>
      <w:r>
        <w:rPr>
          <w:rFonts w:eastAsia="source serif 4" w:cs="source serif 4" w:ascii="source serif 4" w:hAnsi="source serif 4"/>
          <w:color w:val="000000"/>
          <w:sz w:val="21"/>
          <w:vertAlign w:val="superscript"/>
        </w:rPr>
        <w:t xml:space="preserve">7][</w:t>
      </w:r>
      <w:r>
        <w:rPr>
          <w:rFonts w:eastAsia="source serif 4" w:cs="source serif 4" w:ascii="source serif 4" w:hAnsi="source serif 4"/>
          <w:color w:val="000000"/>
          <w:sz w:val="21"/>
        </w:rPr>
        <w:t xml:space="preserve">11]</w:t>
      </w:r>
    </w:p>
    <w:p>
      <w:pPr>
        <w:numPr>
          <w:ilvl w:val="0"/>
          <w:numId w:val="12"/>
        </w:numPr>
        <w:spacing w:line="360" w:before="105" w:after="105" w:lineRule="auto"/>
      </w:pPr>
      <w:r>
        <w:rPr>
          <w:rFonts w:eastAsia="source serif 4" w:cs="source serif 4" w:ascii="source serif 4" w:hAnsi="source serif 4"/>
          <w:b/>
          <w:color w:val="000000"/>
          <w:sz w:val="21"/>
        </w:rPr>
        <w:t xml:space="preserve">Associer les publics accompagnés</w:t>
      </w:r>
      <w:r>
        <w:rPr>
          <w:rFonts w:eastAsia="source serif 4" w:cs="source serif 4" w:ascii="source serif 4" w:hAnsi="source serif 4"/>
          <w:color w:val="000000"/>
          <w:sz w:val="21"/>
        </w:rPr>
        <w:t xml:space="preserve"> (jeunes, habitants, bénéficiaires) à la réflexion sur les usages de l’IA qui les concernent, dans une logique d’éducation populaire et de participation.[</w:t>
      </w:r>
      <w:r>
        <w:rPr>
          <w:rFonts w:eastAsia="source serif 4" w:cs="source serif 4" w:ascii="source serif 4" w:hAnsi="source serif 4"/>
          <w:color w:val="000000"/>
          <w:sz w:val="21"/>
          <w:vertAlign w:val="superscript"/>
        </w:rPr>
        <w:t xml:space="preserve">13][</w:t>
      </w:r>
      <w:r>
        <w:rPr>
          <w:rFonts w:eastAsia="source serif 4" w:cs="source serif 4" w:ascii="source serif 4" w:hAnsi="source serif 4"/>
          <w:color w:val="000000"/>
          <w:sz w:val="21"/>
        </w:rPr>
        <w:t xml:space="preserve">12]</w:t>
      </w:r>
    </w:p>
    <w:p>
      <w:pPr>
        <w:numPr>
          <w:ilvl w:val="0"/>
          <w:numId w:val="12"/>
        </w:numPr>
        <w:spacing w:line="360" w:before="105" w:after="105" w:lineRule="auto"/>
      </w:pPr>
      <w:r>
        <w:rPr>
          <w:rFonts w:eastAsia="source serif 4" w:cs="source serif 4" w:ascii="source serif 4" w:hAnsi="source serif 4"/>
          <w:b/>
          <w:color w:val="000000"/>
          <w:sz w:val="21"/>
        </w:rPr>
        <w:t xml:space="preserve">Évoluer vers une stratégie de numérique responsable globale</w:t>
      </w:r>
      <w:r>
        <w:rPr>
          <w:rFonts w:eastAsia="source serif 4" w:cs="source serif 4" w:ascii="source serif 4" w:hAnsi="source serif 4"/>
          <w:color w:val="000000"/>
          <w:sz w:val="21"/>
        </w:rPr>
        <w:t xml:space="preserve"> : en articulant IA, sobriété numérique, accessibilité, inclusion, souveraineté des données, et en s’inspirant des cadres de l’INR et des lignes directrices internationales.[</w:t>
      </w:r>
      <w:r>
        <w:rPr>
          <w:rFonts w:eastAsia="source serif 4" w:cs="source serif 4" w:ascii="source serif 4" w:hAnsi="source serif 4"/>
          <w:color w:val="000000"/>
          <w:sz w:val="21"/>
          <w:vertAlign w:val="superscript"/>
        </w:rPr>
        <w:t xml:space="preserve">4][</w:t>
      </w:r>
      <w:r>
        <w:rPr>
          <w:rFonts w:eastAsia="source serif 4" w:cs="source serif 4" w:ascii="source serif 4" w:hAnsi="source serif 4"/>
          <w:color w:val="000000"/>
          <w:sz w:val="21"/>
        </w:rPr>
        <w:t xml:space="preserve">6][^16]</w:t>
      </w:r>
    </w:p>
    <w:p>
      <w:pPr>
        <w:spacing w:line="360" w:before="315" w:after="105" w:lineRule="auto"/>
        <w:ind w:left="-30"/>
        <w:jc w:val="left"/>
      </w:pPr>
      <w:bookmarkStart w:id="16" w:name="bm_4_5_feuilles_de_route_individuelles"/>
      <w:r>
        <w:rPr>
          <w:rFonts w:eastAsia="source serif 4" w:cs="source serif 4" w:ascii="source serif 4" w:hAnsi="source serif 4"/>
          <w:b/>
          <w:color w:val="000000"/>
          <w:sz w:val="24"/>
        </w:rPr>
        <w:t xml:space="preserve">4.5. Feuilles de route individuelles</w:t>
      </w:r>
      <w:bookmarkEnd w:id="16"/>
    </w:p>
    <w:p>
      <w:pPr>
        <w:spacing w:line="360" w:after="210" w:lineRule="auto"/>
      </w:pPr>
      <w:r>
        <w:rPr>
          <w:rFonts w:eastAsia="source serif 4" w:cs="source serif 4" w:ascii="source serif 4" w:hAnsi="source serif 4"/>
          <w:color w:val="000000"/>
        </w:rPr>
        <w:t xml:space="preserve">En complément, la formation peut inviter chaque participant à élaborer une </w:t>
      </w:r>
      <w:r>
        <w:rPr>
          <w:rFonts w:eastAsia="source serif 4" w:cs="source serif 4" w:ascii="source serif 4" w:hAnsi="source serif 4"/>
          <w:b/>
          <w:color w:val="000000"/>
        </w:rPr>
        <w:t xml:space="preserve">feuille de route personnelle</w:t>
      </w:r>
      <w:r>
        <w:rPr>
          <w:rFonts w:eastAsia="source serif 4" w:cs="source serif 4" w:ascii="source serif 4" w:hAnsi="source serif 4"/>
          <w:color w:val="000000"/>
        </w:rPr>
        <w:t xml:space="preserve"> :</w:t>
      </w:r>
    </w:p>
    <w:p>
      <w:pPr>
        <w:numPr>
          <w:ilvl w:val="0"/>
          <w:numId w:val="13"/>
        </w:numPr>
        <w:spacing w:line="360" w:before="105" w:after="105" w:lineRule="auto"/>
      </w:pPr>
      <w:r>
        <w:rPr>
          <w:rFonts w:eastAsia="source serif 4" w:cs="source serif 4" w:ascii="source serif 4" w:hAnsi="source serif 4"/>
          <w:color w:val="000000"/>
          <w:sz w:val="21"/>
        </w:rPr>
        <w:t xml:space="preserve">Objectifs d’apprentissage (comprendre mieux le RGPD/AI Act, savoir animer un atelier d’EMI sur l’IA, contribuer à la charte, etc.).</w:t>
      </w:r>
    </w:p>
    <w:p>
      <w:pPr>
        <w:numPr>
          <w:ilvl w:val="0"/>
          <w:numId w:val="13"/>
        </w:numPr>
        <w:spacing w:line="360" w:before="105" w:after="105" w:lineRule="auto"/>
      </w:pPr>
      <w:r>
        <w:rPr>
          <w:rFonts w:eastAsia="source serif 4" w:cs="source serif 4" w:ascii="source serif 4" w:hAnsi="source serif 4"/>
          <w:color w:val="000000"/>
          <w:sz w:val="21"/>
        </w:rPr>
        <w:t xml:space="preserve">Engagements concrets (tester un outil responsable, proposer un atelier dans sa structure, intégrer un réseau de veille, etc.).</w:t>
      </w:r>
    </w:p>
    <w:p>
      <w:pPr>
        <w:numPr>
          <w:ilvl w:val="0"/>
          <w:numId w:val="13"/>
        </w:numPr>
        <w:spacing w:line="360" w:before="105" w:after="105" w:lineRule="auto"/>
      </w:pPr>
      <w:r>
        <w:rPr>
          <w:rFonts w:eastAsia="source serif 4" w:cs="source serif 4" w:ascii="source serif 4" w:hAnsi="source serif 4"/>
          <w:color w:val="000000"/>
          <w:sz w:val="21"/>
        </w:rPr>
        <w:t xml:space="preserve">Échéances et ressources mobilisables (formations, lectures, pairs, référents).</w:t>
      </w:r>
    </w:p>
    <w:p>
      <w:pPr>
        <w:spacing w:line="360" w:before="315" w:after="105" w:lineRule="auto"/>
        <w:ind w:left="-30"/>
        <w:jc w:val="left"/>
      </w:pPr>
      <w:bookmarkStart w:id="17" w:name="bm_5_pistes_de_solutions_issues_d_30b076"/>
      <w:r>
        <w:rPr>
          <w:rFonts w:eastAsia="source serif 4" w:cs="source serif 4" w:ascii="source serif 4" w:hAnsi="source serif 4"/>
          <w:b/>
          <w:color w:val="000000"/>
          <w:sz w:val="24"/>
        </w:rPr>
        <w:t xml:space="preserve">5. Pistes de solutions issues d’acteurs associatifs et partenaires</w:t>
      </w:r>
      <w:bookmarkEnd w:id="17"/>
    </w:p>
    <w:p>
      <w:pPr>
        <w:spacing w:line="360" w:before="315" w:after="105" w:lineRule="auto"/>
        <w:ind w:left="-30"/>
        <w:jc w:val="left"/>
      </w:pPr>
      <w:bookmarkStart w:id="18" w:name="bm_5_1_institut_du_numérique_resp_feb983"/>
      <w:r>
        <w:rPr>
          <w:rFonts w:eastAsia="source serif 4" w:cs="source serif 4" w:ascii="source serif 4" w:hAnsi="source serif 4"/>
          <w:b/>
          <w:color w:val="000000"/>
          <w:sz w:val="24"/>
        </w:rPr>
        <w:t xml:space="preserve">5.1. Institut du Numérique Responsable (INR)</w:t>
      </w:r>
      <w:bookmarkEnd w:id="18"/>
    </w:p>
    <w:p>
      <w:pPr>
        <w:spacing w:line="360" w:after="210" w:lineRule="auto"/>
      </w:pPr>
      <w:r>
        <w:rPr>
          <w:rFonts w:eastAsia="source serif 4" w:cs="source serif 4" w:ascii="source serif 4" w:hAnsi="source serif 4"/>
          <w:color w:val="000000"/>
        </w:rPr>
        <w:t xml:space="preserve">L’INR, association multi‑acteurs (entreprises, collectivités, ONG, etc.), a lancé une </w:t>
      </w:r>
      <w:r>
        <w:rPr>
          <w:rFonts w:eastAsia="source serif 4" w:cs="source serif 4" w:ascii="source serif 4" w:hAnsi="source serif 4"/>
          <w:b/>
          <w:color w:val="000000"/>
        </w:rPr>
        <w:t xml:space="preserve">Charte Numérique Responsable</w:t>
      </w:r>
      <w:r>
        <w:rPr>
          <w:rFonts w:eastAsia="source serif 4" w:cs="source serif 4" w:ascii="source serif 4" w:hAnsi="source serif 4"/>
          <w:color w:val="000000"/>
        </w:rPr>
        <w:t xml:space="preserve"> puis une </w:t>
      </w:r>
      <w:r>
        <w:rPr>
          <w:rFonts w:eastAsia="source serif 4" w:cs="source serif 4" w:ascii="source serif 4" w:hAnsi="source serif 4"/>
          <w:b/>
          <w:color w:val="000000"/>
        </w:rPr>
        <w:t xml:space="preserve">Charte IA Responsable</w:t>
      </w:r>
      <w:r>
        <w:rPr>
          <w:rFonts w:eastAsia="source serif 4" w:cs="source serif 4" w:ascii="source serif 4" w:hAnsi="source serif 4"/>
          <w:color w:val="000000"/>
        </w:rPr>
        <w:t xml:space="preserve">, qui visent à encourager des pratiques numériques et IA plus sobres, inclusives et souveraines. Ces chartes sont accompagnées d’une « boîte à outils » pour aider les organisations à évaluer leurs usages, à définir des plans d’action et à valoriser leurs engagements.[</w:t>
      </w:r>
      <w:r>
        <w:rPr>
          <w:rFonts w:eastAsia="source serif 4" w:cs="source serif 4" w:ascii="source serif 4" w:hAnsi="source serif 4"/>
          <w:color w:val="000000"/>
          <w:vertAlign w:val="superscript"/>
        </w:rPr>
        <w:t xml:space="preserve">21][</w:t>
      </w:r>
      <w:r>
        <w:rPr>
          <w:rFonts w:eastAsia="source serif 4" w:cs="source serif 4" w:ascii="source serif 4" w:hAnsi="source serif 4"/>
          <w:color w:val="000000"/>
        </w:rPr>
        <w:t xml:space="preserve">15][</w:t>
      </w:r>
      <w:r>
        <w:rPr>
          <w:rFonts w:eastAsia="source serif 4" w:cs="source serif 4" w:ascii="source serif 4" w:hAnsi="source serif 4"/>
          <w:color w:val="000000"/>
          <w:vertAlign w:val="superscript"/>
        </w:rPr>
        <w:t xml:space="preserve">16][</w:t>
      </w:r>
      <w:r>
        <w:rPr>
          <w:rFonts w:eastAsia="source serif 4" w:cs="source serif 4" w:ascii="source serif 4" w:hAnsi="source serif 4"/>
          <w:color w:val="000000"/>
        </w:rPr>
        <w:t xml:space="preserve">4]</w:t>
      </w:r>
    </w:p>
    <w:p>
      <w:pPr>
        <w:spacing w:line="360" w:after="210" w:lineRule="auto"/>
      </w:pPr>
      <w:r>
        <w:rPr>
          <w:rFonts w:eastAsia="source serif 4" w:cs="source serif 4" w:ascii="source serif 4" w:hAnsi="source serif 4"/>
          <w:color w:val="000000"/>
        </w:rPr>
        <w:t xml:space="preserve">Les associations peuvent s’en inspirer pour :</w:t>
      </w:r>
    </w:p>
    <w:p>
      <w:pPr>
        <w:numPr>
          <w:ilvl w:val="0"/>
          <w:numId w:val="14"/>
        </w:numPr>
        <w:spacing w:line="360" w:before="105" w:after="105" w:lineRule="auto"/>
      </w:pPr>
      <w:r>
        <w:rPr>
          <w:rFonts w:eastAsia="source serif 4" w:cs="source serif 4" w:ascii="source serif 4" w:hAnsi="source serif 4"/>
          <w:color w:val="000000"/>
          <w:sz w:val="21"/>
        </w:rPr>
        <w:t xml:space="preserve">Adapter les principes aux spécificités de l’éducation populaire.</w:t>
      </w:r>
    </w:p>
    <w:p>
      <w:pPr>
        <w:numPr>
          <w:ilvl w:val="0"/>
          <w:numId w:val="14"/>
        </w:numPr>
        <w:spacing w:line="360" w:before="105" w:after="105" w:lineRule="auto"/>
      </w:pPr>
      <w:r>
        <w:rPr>
          <w:rFonts w:eastAsia="source serif 4" w:cs="source serif 4" w:ascii="source serif 4" w:hAnsi="source serif 4"/>
          <w:color w:val="000000"/>
          <w:sz w:val="21"/>
        </w:rPr>
        <w:t xml:space="preserve">Rejoindre des démarches collectives plutôt que de rester isolées.</w:t>
      </w:r>
    </w:p>
    <w:p>
      <w:pPr>
        <w:spacing w:line="360" w:before="315" w:after="105" w:lineRule="auto"/>
        <w:ind w:left="-30"/>
        <w:jc w:val="left"/>
      </w:pPr>
      <w:bookmarkStart w:id="19" w:name="bm_5_2_chartes_ia_des_collectivit_d2c0bf"/>
      <w:r>
        <w:rPr>
          <w:rFonts w:eastAsia="source serif 4" w:cs="source serif 4" w:ascii="source serif 4" w:hAnsi="source serif 4"/>
          <w:b/>
          <w:color w:val="000000"/>
          <w:sz w:val="24"/>
        </w:rPr>
        <w:t xml:space="preserve">5.2. Chartes IA des collectivités et administrations</w:t>
      </w:r>
      <w:bookmarkEnd w:id="19"/>
    </w:p>
    <w:p>
      <w:pPr>
        <w:spacing w:line="360" w:after="210" w:lineRule="auto"/>
      </w:pPr>
      <w:r>
        <w:rPr>
          <w:rFonts w:eastAsia="source serif 4" w:cs="source serif 4" w:ascii="source serif 4" w:hAnsi="source serif 4"/>
          <w:color w:val="000000"/>
        </w:rPr>
        <w:t xml:space="preserve">Plusieurs collectivités territoriales et administrations françaises (villes, métropoles, établissements publics, ministères) ont publié des chartes d’utilisation de l’IA, recensées sur un </w:t>
      </w:r>
      <w:r>
        <w:rPr>
          <w:rFonts w:eastAsia="source serif 4" w:cs="source serif 4" w:ascii="source serif 4" w:hAnsi="source serif 4"/>
          <w:b/>
          <w:color w:val="000000"/>
        </w:rPr>
        <w:t xml:space="preserve">portail dédié</w:t>
      </w:r>
      <w:r>
        <w:rPr>
          <w:rFonts w:eastAsia="source serif 4" w:cs="source serif 4" w:ascii="source serif 4" w:hAnsi="source serif 4"/>
          <w:color w:val="000000"/>
        </w:rPr>
        <w:t xml:space="preserve"> géré par les services de l’État. Ces chartes offrent des exemples concrets d’engagements, de gouvernance, de mises en œuvre et d’actions de formation.[</w:t>
      </w:r>
      <w:r>
        <w:rPr>
          <w:rFonts w:eastAsia="source serif 4" w:cs="source serif 4" w:ascii="source serif 4" w:hAnsi="source serif 4"/>
          <w:color w:val="000000"/>
          <w:vertAlign w:val="superscript"/>
        </w:rPr>
        <w:t xml:space="preserve">11][</w:t>
      </w:r>
      <w:r>
        <w:rPr>
          <w:rFonts w:eastAsia="source serif 4" w:cs="source serif 4" w:ascii="source serif 4" w:hAnsi="source serif 4"/>
          <w:color w:val="000000"/>
        </w:rPr>
        <w:t xml:space="preserve">7]</w:t>
      </w:r>
    </w:p>
    <w:p>
      <w:pPr>
        <w:spacing w:line="360" w:after="210" w:lineRule="auto"/>
      </w:pPr>
      <w:r>
        <w:rPr>
          <w:rFonts w:eastAsia="source serif 4" w:cs="source serif 4" w:ascii="source serif 4" w:hAnsi="source serif 4"/>
          <w:color w:val="000000"/>
        </w:rPr>
        <w:t xml:space="preserve">Par exemple, la charte de l’Eurométropole de Strasbourg met l’accent sur l’intérêt général, le respect des droits, la transparence, la robustesse, la sobriété et l’association des citoyens aux choix technologiques. Une association peut s’en inspirer pour adapter ces catégories à son propre contexte.[^7]</w:t>
      </w:r>
    </w:p>
    <w:p>
      <w:pPr>
        <w:spacing w:line="360" w:before="315" w:after="105" w:lineRule="auto"/>
        <w:ind w:left="-30"/>
        <w:jc w:val="left"/>
      </w:pPr>
      <w:bookmarkStart w:id="20" w:name="bm_5_3_référentiels_éthiques_inte_52cf16"/>
      <w:r>
        <w:rPr>
          <w:rFonts w:eastAsia="source serif 4" w:cs="source serif 4" w:ascii="source serif 4" w:hAnsi="source serif 4"/>
          <w:b/>
          <w:color w:val="000000"/>
          <w:sz w:val="24"/>
        </w:rPr>
        <w:t xml:space="preserve">5.3. Référentiels éthiques internationaux et société civile</w:t>
      </w:r>
      <w:bookmarkEnd w:id="20"/>
    </w:p>
    <w:p>
      <w:pPr>
        <w:spacing w:line="360" w:after="210" w:lineRule="auto"/>
      </w:pPr>
      <w:r>
        <w:rPr>
          <w:rFonts w:eastAsia="source serif 4" w:cs="source serif 4" w:ascii="source serif 4" w:hAnsi="source serif 4"/>
          <w:color w:val="000000"/>
        </w:rPr>
        <w:t xml:space="preserve">L’UNESCO, avec sa recommandation sur l’éthique de l’IA, et le groupe d’experts de haut niveau de l’UE sur l’IA fournissent un cadre normatif qui insiste sur la dignité humaine, la justice, la non‑discrimination, la protection de l’environnement et la participation. Ces textes, bien que généraux, peuvent servir de « boussole » aux organisations de la société civile.[</w:t>
      </w:r>
      <w:r>
        <w:rPr>
          <w:rFonts w:eastAsia="source serif 4" w:cs="source serif 4" w:ascii="source serif 4" w:hAnsi="source serif 4"/>
          <w:color w:val="000000"/>
          <w:vertAlign w:val="superscript"/>
        </w:rPr>
        <w:t xml:space="preserve">9][</w:t>
      </w:r>
      <w:r>
        <w:rPr>
          <w:rFonts w:eastAsia="source serif 4" w:cs="source serif 4" w:ascii="source serif 4" w:hAnsi="source serif 4"/>
          <w:color w:val="000000"/>
        </w:rPr>
        <w:t xml:space="preserve">6][^8]</w:t>
      </w:r>
    </w:p>
    <w:p>
      <w:pPr>
        <w:spacing w:line="360" w:after="210" w:lineRule="auto"/>
      </w:pPr>
      <w:r>
        <w:rPr>
          <w:rFonts w:eastAsia="source serif 4" w:cs="source serif 4" w:ascii="source serif 4" w:hAnsi="source serif 4"/>
          <w:color w:val="000000"/>
        </w:rPr>
        <w:t xml:space="preserve">Par ailleurs, des ONG et think tanks publient des guides sur l’IA éthique et responsable dans le champ des droits humains, de la démocratie et de la justice sociale, que les associations peuvent mobiliser pour nourrir leur charte et leur feuille de route.</w:t>
      </w:r>
    </w:p>
    <w:p>
      <w:pPr>
        <w:spacing w:line="360" w:before="315" w:after="105" w:lineRule="auto"/>
        <w:ind w:left="-30"/>
        <w:jc w:val="left"/>
      </w:pPr>
      <w:bookmarkStart w:id="21" w:name="bm_6_webographie_commentée"/>
      <w:r>
        <w:rPr>
          <w:rFonts w:eastAsia="source serif 4" w:cs="source serif 4" w:ascii="source serif 4" w:hAnsi="source serif 4"/>
          <w:b/>
          <w:color w:val="000000"/>
          <w:sz w:val="24"/>
        </w:rPr>
        <w:t xml:space="preserve">6. Webographie commentée</w:t>
      </w:r>
      <w:bookmarkEnd w:id="21"/>
    </w:p>
    <w:p>
      <w:pPr>
        <w:spacing w:line="360" w:before="315" w:after="105" w:lineRule="auto"/>
        <w:ind w:left="-30"/>
        <w:jc w:val="left"/>
      </w:pPr>
      <w:bookmarkStart w:id="22" w:name="bm_6_1_chartes_et_cadres_éthiques_b4851e"/>
      <w:r>
        <w:rPr>
          <w:rFonts w:eastAsia="source serif 4" w:cs="source serif 4" w:ascii="source serif 4" w:hAnsi="source serif 4"/>
          <w:b/>
          <w:color w:val="000000"/>
          <w:sz w:val="24"/>
        </w:rPr>
        <w:t xml:space="preserve">6.1. Chartes et cadres éthiques généraux</w:t>
      </w:r>
      <w:bookmarkEnd w:id="22"/>
    </w:p>
    <w:p>
      <w:pPr>
        <w:numPr>
          <w:ilvl w:val="0"/>
          <w:numId w:val="15"/>
        </w:numPr>
        <w:spacing w:line="360" w:after="210" w:lineRule="auto"/>
      </w:pPr>
      <w:r>
        <w:rPr>
          <w:rFonts w:eastAsia="source serif 4" w:cs="source serif 4" w:ascii="source serif 4" w:hAnsi="source serif 4"/>
          <w:b/>
          <w:color w:val="000000"/>
          <w:sz w:val="21"/>
        </w:rPr>
        <w:t xml:space="preserve">UNESCO – Recommandation sur l’éthique de l’intelligence artificielle</w:t>
      </w:r>
      <w:r>
        <w:rPr>
          <w:rFonts w:eastAsia="source serif 4" w:cs="source serif 4" w:ascii="source serif 4" w:hAnsi="source serif 4"/>
          <w:color w:val="000000"/>
          <w:sz w:val="21"/>
        </w:rPr>
        <w:t xml:space="preserve"> : texte international de référence posant des principes pour une IA centrée sur l’humain, respectueuse des droits humains, de l’environnement et de la diversité.</w:t>
      </w:r>
    </w:p>
    <w:p>
      <w:pPr>
        <w:numPr>
          <w:ilvl w:val="1"/>
          <w:numId w:val="15"/>
        </w:numPr>
        <w:spacing w:line="360" w:before="105" w:after="105" w:lineRule="auto"/>
      </w:pPr>
      <w:hyperlink r:id="rId5">
        <w:r>
          <w:rPr>
            <w:rFonts w:eastAsia="source sans 3" w:cs="source sans 3" w:ascii="source sans 3" w:hAnsi="source sans 3"/>
            <w:color w:val="#000"/>
            <w:sz w:val="21"/>
            <w:u w:val="single"/>
          </w:rPr>
          <w:t xml:space="preserve">https://www.unesco.org/fr/artificial-intelligence/recommendation-ethics[^6]</w:t>
        </w:r>
      </w:hyperlink>
    </w:p>
    <w:p>
      <w:pPr>
        <w:numPr>
          <w:ilvl w:val="0"/>
          <w:numId w:val="15"/>
        </w:numPr>
        <w:spacing w:line="360" w:after="210" w:lineRule="auto"/>
      </w:pPr>
      <w:r>
        <w:rPr>
          <w:rFonts w:eastAsia="source serif 4" w:cs="source serif 4" w:ascii="source serif 4" w:hAnsi="source serif 4"/>
          <w:b/>
          <w:color w:val="000000"/>
          <w:sz w:val="21"/>
        </w:rPr>
        <w:t xml:space="preserve">Lignes directrices européennes pour une IA digne de confiance</w:t>
      </w:r>
      <w:r>
        <w:rPr>
          <w:rFonts w:eastAsia="source serif 4" w:cs="source serif 4" w:ascii="source serif 4" w:hAnsi="source serif 4"/>
          <w:color w:val="000000"/>
          <w:sz w:val="21"/>
        </w:rPr>
        <w:t xml:space="preserve"> : document du groupe d’experts de haut niveau sur l’IA détaillant les exigences pour développer et utiliser une IA responsable.</w:t>
      </w:r>
    </w:p>
    <w:p>
      <w:pPr>
        <w:numPr>
          <w:ilvl w:val="1"/>
          <w:numId w:val="15"/>
        </w:numPr>
        <w:spacing w:line="360" w:before="105" w:after="105" w:lineRule="auto"/>
      </w:pPr>
      <w:hyperlink r:id="rId6">
        <w:r>
          <w:rPr>
            <w:rFonts w:eastAsia="source sans 3" w:cs="source sans 3" w:ascii="source sans 3" w:hAnsi="source sans 3"/>
            <w:color w:val="#000"/>
            <w:sz w:val="21"/>
            <w:u w:val="single"/>
          </w:rPr>
          <w:t xml:space="preserve">https://digital-strategy.ec.europa.eu/fr/library/ethics-guidelines-trustworthy-ai[^8]</w:t>
        </w:r>
      </w:hyperlink>
    </w:p>
    <w:p>
      <w:pPr>
        <w:numPr>
          <w:ilvl w:val="1"/>
          <w:numId w:val="15"/>
        </w:numPr>
        <w:spacing w:line="360" w:before="105" w:after="105" w:lineRule="auto"/>
      </w:pPr>
      <w:r>
        <w:rPr>
          <w:rFonts w:eastAsia="source serif 4" w:cs="source serif 4" w:ascii="source serif 4" w:hAnsi="source serif 4"/>
          <w:color w:val="000000"/>
          <w:sz w:val="21"/>
        </w:rPr>
        <w:t xml:space="preserve">Synthèse (FR) : </w:t>
      </w:r>
      <w:hyperlink r:id="rId7">
        <w:r>
          <w:rPr>
            <w:rFonts w:eastAsia="source sans 3" w:cs="source sans 3" w:ascii="source sans 3" w:hAnsi="source sans 3"/>
            <w:color w:val="#000"/>
            <w:sz w:val="21"/>
            <w:u w:val="single"/>
          </w:rPr>
          <w:t xml:space="preserve">https://www.cep.eu/fileadmin/user_upload/cep.eu/Analysen/COM_2019_168_Ethik_in_KI/CA_COM_2019__168__Lignes_directrices_en_matier.pdf[^22]</w:t>
        </w:r>
      </w:hyperlink>
    </w:p>
    <w:p>
      <w:pPr>
        <w:spacing w:line="360" w:before="315" w:after="105" w:lineRule="auto"/>
        <w:ind w:left="-30"/>
        <w:jc w:val="left"/>
      </w:pPr>
      <w:bookmarkStart w:id="23" w:name="bm_6_2_chartes_ia_et_numérique_re_2cfa93"/>
      <w:r>
        <w:rPr>
          <w:rFonts w:eastAsia="source serif 4" w:cs="source serif 4" w:ascii="source serif 4" w:hAnsi="source serif 4"/>
          <w:b/>
          <w:color w:val="000000"/>
          <w:sz w:val="24"/>
        </w:rPr>
        <w:t xml:space="preserve">6.2. Chartes IA et numérique responsable</w:t>
      </w:r>
      <w:bookmarkEnd w:id="23"/>
    </w:p>
    <w:p>
      <w:pPr>
        <w:numPr>
          <w:ilvl w:val="0"/>
          <w:numId w:val="16"/>
        </w:numPr>
        <w:spacing w:line="360" w:after="210" w:lineRule="auto"/>
      </w:pPr>
      <w:r>
        <w:rPr>
          <w:rFonts w:eastAsia="source serif 4" w:cs="source serif 4" w:ascii="source serif 4" w:hAnsi="source serif 4"/>
          <w:b/>
          <w:color w:val="000000"/>
          <w:sz w:val="21"/>
        </w:rPr>
        <w:t xml:space="preserve">CDG76 – Charte d’utilisation des intelligences artificielles</w:t>
      </w:r>
      <w:r>
        <w:rPr>
          <w:rFonts w:eastAsia="source serif 4" w:cs="source serif 4" w:ascii="source serif 4" w:hAnsi="source serif 4"/>
          <w:color w:val="000000"/>
          <w:sz w:val="21"/>
        </w:rPr>
        <w:t xml:space="preserve"> : modèle de charte destiné aux collectivités, mais transposable à des associations, avec principes et engagements concrets.</w:t>
      </w:r>
    </w:p>
    <w:p>
      <w:pPr>
        <w:numPr>
          <w:ilvl w:val="1"/>
          <w:numId w:val="16"/>
        </w:numPr>
        <w:spacing w:line="360" w:before="105" w:after="105" w:lineRule="auto"/>
      </w:pPr>
      <w:hyperlink r:id="rId8">
        <w:r>
          <w:rPr>
            <w:rFonts w:eastAsia="source sans 3" w:cs="source sans 3" w:ascii="source sans 3" w:hAnsi="source sans 3"/>
            <w:color w:val="#000"/>
            <w:sz w:val="21"/>
            <w:u w:val="single"/>
          </w:rPr>
          <w:t xml:space="preserve">https://www.cdg76.fr/modeles_d_actes/charte-dutilisation-des-intelligences-artificielles-ia/[^5]</w:t>
        </w:r>
      </w:hyperlink>
    </w:p>
    <w:p>
      <w:pPr>
        <w:numPr>
          <w:ilvl w:val="1"/>
          <w:numId w:val="16"/>
        </w:numPr>
        <w:spacing w:line="360" w:before="105" w:after="105" w:lineRule="auto"/>
      </w:pPr>
      <w:r>
        <w:rPr>
          <w:rFonts w:eastAsia="source serif 4" w:cs="source serif 4" w:ascii="source serif 4" w:hAnsi="source serif 4"/>
          <w:color w:val="000000"/>
          <w:sz w:val="21"/>
        </w:rPr>
        <w:t xml:space="preserve">Présentation du modèle de charte : </w:t>
      </w:r>
      <w:hyperlink r:id="rId9">
        <w:r>
          <w:rPr>
            <w:rFonts w:eastAsia="source sans 3" w:cs="source sans 3" w:ascii="source sans 3" w:hAnsi="source sans 3"/>
            <w:color w:val="#000"/>
            <w:sz w:val="21"/>
            <w:u w:val="single"/>
          </w:rPr>
          <w:t xml:space="preserve">https://www.cdg76.fr/actualites/ia-un-modele-de-charte-dutilisation-des-intelligences-artificielles-mis-a-votre-disposition/[^10]</w:t>
        </w:r>
      </w:hyperlink>
    </w:p>
    <w:p>
      <w:pPr>
        <w:numPr>
          <w:ilvl w:val="0"/>
          <w:numId w:val="16"/>
        </w:numPr>
        <w:spacing w:line="360" w:after="210" w:lineRule="auto"/>
      </w:pPr>
      <w:r>
        <w:rPr>
          <w:rFonts w:eastAsia="source serif 4" w:cs="source serif 4" w:ascii="source serif 4" w:hAnsi="source serif 4"/>
          <w:b/>
          <w:color w:val="000000"/>
          <w:sz w:val="21"/>
        </w:rPr>
        <w:t xml:space="preserve">Institut du Numérique Responsable – Charte IA Responsable</w:t>
      </w:r>
      <w:r>
        <w:rPr>
          <w:rFonts w:eastAsia="source serif 4" w:cs="source serif 4" w:ascii="source serif 4" w:hAnsi="source serif 4"/>
          <w:color w:val="000000"/>
          <w:sz w:val="21"/>
        </w:rPr>
        <w:t xml:space="preserve"> : outil d’engagement pour une IA éthique, inclusive, frugale et souveraine, ouvert aux associations.</w:t>
      </w:r>
    </w:p>
    <w:p>
      <w:pPr>
        <w:numPr>
          <w:ilvl w:val="1"/>
          <w:numId w:val="16"/>
        </w:numPr>
        <w:spacing w:line="360" w:before="105" w:after="105" w:lineRule="auto"/>
      </w:pPr>
      <w:r>
        <w:rPr>
          <w:rFonts w:eastAsia="source serif 4" w:cs="source serif 4" w:ascii="source serif 4" w:hAnsi="source serif 4"/>
          <w:color w:val="000000"/>
          <w:sz w:val="21"/>
        </w:rPr>
        <w:t xml:space="preserve">Article de présentation : </w:t>
      </w:r>
      <w:hyperlink r:id="rId10">
        <w:r>
          <w:rPr>
            <w:rFonts w:eastAsia="source sans 3" w:cs="source sans 3" w:ascii="source sans 3" w:hAnsi="source sans 3"/>
            <w:color w:val="#000"/>
            <w:sz w:val="21"/>
            <w:u w:val="single"/>
          </w:rPr>
          <w:t xml:space="preserve">https://www.archimag.com/numerique-responsable/2025/10/23/institut-numerique-responsable-devoile-charte-ia-responsable[^4]</w:t>
        </w:r>
      </w:hyperlink>
    </w:p>
    <w:p>
      <w:pPr>
        <w:numPr>
          <w:ilvl w:val="1"/>
          <w:numId w:val="16"/>
        </w:numPr>
        <w:spacing w:line="360" w:before="105" w:after="105" w:lineRule="auto"/>
      </w:pPr>
      <w:r>
        <w:rPr>
          <w:rFonts w:eastAsia="source serif 4" w:cs="source serif 4" w:ascii="source serif 4" w:hAnsi="source serif 4"/>
          <w:color w:val="000000"/>
          <w:sz w:val="21"/>
        </w:rPr>
        <w:t xml:space="preserve">Détails sur la charte et les adhésions : </w:t>
      </w:r>
      <w:hyperlink r:id="rId11">
        <w:r>
          <w:rPr>
            <w:rFonts w:eastAsia="source sans 3" w:cs="source sans 3" w:ascii="source sans 3" w:hAnsi="source sans 3"/>
            <w:color w:val="#000"/>
            <w:sz w:val="21"/>
            <w:u w:val="single"/>
          </w:rPr>
          <w:t xml:space="preserve">https://www.solutions-numeriques.com/linstitut-du-numerique-responsable-lance-la-charte-de-lia-responsable/[^15]</w:t>
        </w:r>
      </w:hyperlink>
    </w:p>
    <w:p>
      <w:pPr>
        <w:numPr>
          <w:ilvl w:val="0"/>
          <w:numId w:val="16"/>
        </w:numPr>
        <w:spacing w:line="360" w:after="210" w:lineRule="auto"/>
      </w:pPr>
      <w:r>
        <w:rPr>
          <w:rFonts w:eastAsia="source serif 4" w:cs="source serif 4" w:ascii="source serif 4" w:hAnsi="source serif 4"/>
          <w:b/>
          <w:color w:val="000000"/>
          <w:sz w:val="21"/>
        </w:rPr>
        <w:t xml:space="preserve">Institut du Numérique Responsable – Charte Numérique Responsable</w:t>
      </w:r>
      <w:r>
        <w:rPr>
          <w:rFonts w:eastAsia="source serif 4" w:cs="source serif 4" w:ascii="source serif 4" w:hAnsi="source serif 4"/>
          <w:color w:val="000000"/>
          <w:sz w:val="21"/>
        </w:rPr>
        <w:t xml:space="preserve"> : démarche globale de numérique responsable, incluant désormais un volet IA.</w:t>
      </w:r>
    </w:p>
    <w:p>
      <w:pPr>
        <w:numPr>
          <w:ilvl w:val="1"/>
          <w:numId w:val="16"/>
        </w:numPr>
        <w:spacing w:line="360" w:before="105" w:after="105" w:lineRule="auto"/>
      </w:pPr>
      <w:hyperlink r:id="rId12">
        <w:r>
          <w:rPr>
            <w:rFonts w:eastAsia="source sans 3" w:cs="source sans 3" w:ascii="source sans 3" w:hAnsi="source sans 3"/>
            <w:color w:val="#000"/>
            <w:sz w:val="21"/>
            <w:u w:val="single"/>
          </w:rPr>
          <w:t xml:space="preserve">https://institutnr.org/la-charte-numerique-responsable-evolue[^16]</w:t>
        </w:r>
      </w:hyperlink>
    </w:p>
    <w:p>
      <w:pPr>
        <w:numPr>
          <w:ilvl w:val="0"/>
          <w:numId w:val="16"/>
        </w:numPr>
        <w:spacing w:line="360" w:after="210" w:lineRule="auto"/>
      </w:pPr>
      <w:r>
        <w:rPr>
          <w:rFonts w:eastAsia="source serif 4" w:cs="source serif 4" w:ascii="source serif 4" w:hAnsi="source serif 4"/>
          <w:b/>
          <w:color w:val="000000"/>
          <w:sz w:val="21"/>
        </w:rPr>
        <w:t xml:space="preserve">ISIT Europe – Charte IA / Charte Numérique Responsable</w:t>
      </w:r>
      <w:r>
        <w:rPr>
          <w:rFonts w:eastAsia="source serif 4" w:cs="source serif 4" w:ascii="source serif 4" w:hAnsi="source serif 4"/>
          <w:color w:val="000000"/>
          <w:sz w:val="21"/>
        </w:rPr>
        <w:t xml:space="preserve"> : outils d’engagement et de diagnostic pour les organisations, complétant les démarches de l’INR.</w:t>
      </w:r>
    </w:p>
    <w:p>
      <w:pPr>
        <w:numPr>
          <w:ilvl w:val="1"/>
          <w:numId w:val="16"/>
        </w:numPr>
        <w:spacing w:line="360" w:before="105" w:after="105" w:lineRule="auto"/>
      </w:pPr>
      <w:hyperlink r:id="rId13">
        <w:r>
          <w:rPr>
            <w:rFonts w:eastAsia="source sans 3" w:cs="source sans 3" w:ascii="source sans 3" w:hAnsi="source sans 3"/>
            <w:color w:val="#000"/>
            <w:sz w:val="21"/>
            <w:u w:val="single"/>
          </w:rPr>
          <w:t xml:space="preserve">https://charter.isit-europe.org/charte-ia/?lang=en_US[^19]</w:t>
        </w:r>
      </w:hyperlink>
    </w:p>
    <w:p>
      <w:pPr>
        <w:spacing w:line="360" w:before="315" w:after="105" w:lineRule="auto"/>
        <w:ind w:left="-30"/>
        <w:jc w:val="left"/>
      </w:pPr>
      <w:bookmarkStart w:id="24" w:name="bm_6_3_chartes_ia_dans_le_secteur_public"/>
      <w:r>
        <w:rPr>
          <w:rFonts w:eastAsia="source serif 4" w:cs="source serif 4" w:ascii="source serif 4" w:hAnsi="source serif 4"/>
          <w:b/>
          <w:color w:val="000000"/>
          <w:sz w:val="24"/>
        </w:rPr>
        <w:t xml:space="preserve">6.3. Chartes IA dans le secteur public</w:t>
      </w:r>
      <w:bookmarkEnd w:id="24"/>
    </w:p>
    <w:p>
      <w:pPr>
        <w:numPr>
          <w:ilvl w:val="0"/>
          <w:numId w:val="17"/>
        </w:numPr>
        <w:spacing w:line="360" w:after="210" w:lineRule="auto"/>
      </w:pPr>
      <w:r>
        <w:rPr>
          <w:rFonts w:eastAsia="source serif 4" w:cs="source serif 4" w:ascii="source serif 4" w:hAnsi="source serif 4"/>
          <w:b/>
          <w:color w:val="000000"/>
          <w:sz w:val="21"/>
        </w:rPr>
        <w:t xml:space="preserve">Charte pour une utilisation éthique de l’IA – Eurométropole de Strasbourg</w:t>
      </w:r>
      <w:r>
        <w:rPr>
          <w:rFonts w:eastAsia="source serif 4" w:cs="source serif 4" w:ascii="source serif 4" w:hAnsi="source serif 4"/>
          <w:color w:val="000000"/>
          <w:sz w:val="21"/>
        </w:rPr>
        <w:t xml:space="preserve"> : exemple de charte publique détaillée, articulant principes, gouvernance et engagements opérationnels.</w:t>
      </w:r>
    </w:p>
    <w:p>
      <w:pPr>
        <w:numPr>
          <w:ilvl w:val="1"/>
          <w:numId w:val="17"/>
        </w:numPr>
        <w:spacing w:line="360" w:before="105" w:after="105" w:lineRule="auto"/>
      </w:pPr>
      <w:hyperlink r:id="rId14">
        <w:r>
          <w:rPr>
            <w:rFonts w:eastAsia="source sans 3" w:cs="source sans 3" w:ascii="source sans 3" w:hAnsi="source sans 3"/>
            <w:color w:val="#000"/>
            <w:sz w:val="21"/>
            <w:u w:val="single"/>
          </w:rPr>
          <w:t xml:space="preserve">https://www.strasbourg.eu/documents/976405/479108143/EMS_CharteIA_2025+6.pdf[^7]</w:t>
        </w:r>
      </w:hyperlink>
    </w:p>
    <w:p>
      <w:pPr>
        <w:numPr>
          <w:ilvl w:val="0"/>
          <w:numId w:val="17"/>
        </w:numPr>
        <w:spacing w:line="360" w:after="210" w:lineRule="auto"/>
      </w:pPr>
      <w:r>
        <w:rPr>
          <w:rFonts w:eastAsia="source serif 4" w:cs="source serif 4" w:ascii="source serif 4" w:hAnsi="source serif 4"/>
          <w:b/>
          <w:color w:val="000000"/>
          <w:sz w:val="21"/>
        </w:rPr>
        <w:t xml:space="preserve">Portail des chartes IA dans l’administration</w:t>
      </w:r>
      <w:r>
        <w:rPr>
          <w:rFonts w:eastAsia="source serif 4" w:cs="source serif 4" w:ascii="source serif 4" w:hAnsi="source serif 4"/>
          <w:color w:val="000000"/>
          <w:sz w:val="21"/>
        </w:rPr>
        <w:t xml:space="preserve"> : recense les principales chartes IA adoptées par des administrations et collectivités, utiles comme source d’inspiration.</w:t>
      </w:r>
    </w:p>
    <w:p>
      <w:pPr>
        <w:numPr>
          <w:ilvl w:val="1"/>
          <w:numId w:val="17"/>
        </w:numPr>
        <w:spacing w:line="360" w:before="105" w:after="105" w:lineRule="auto"/>
      </w:pPr>
      <w:hyperlink r:id="rId15">
        <w:r>
          <w:rPr>
            <w:rFonts w:eastAsia="source sans 3" w:cs="source sans 3" w:ascii="source sans 3" w:hAnsi="source sans 3"/>
            <w:color w:val="#000"/>
            <w:sz w:val="21"/>
            <w:u w:val="single"/>
          </w:rPr>
          <w:t xml:space="preserve">https://ia.numerique.gouv.fr/ressources/portail-des-chartes-ia-dans-ladministration/[^11]</w:t>
        </w:r>
      </w:hyperlink>
    </w:p>
    <w:p>
      <w:pPr>
        <w:spacing w:line="360" w:before="315" w:after="105" w:lineRule="auto"/>
        <w:ind w:left="-30"/>
        <w:jc w:val="left"/>
      </w:pPr>
      <w:bookmarkStart w:id="25" w:name="bm_6_4_rgpd_ia_et_associations"/>
      <w:r>
        <w:rPr>
          <w:rFonts w:eastAsia="source serif 4" w:cs="source serif 4" w:ascii="source serif 4" w:hAnsi="source serif 4"/>
          <w:b/>
          <w:color w:val="000000"/>
          <w:sz w:val="24"/>
        </w:rPr>
        <w:t xml:space="preserve">6.4. RGPD, IA et associations</w:t>
      </w:r>
      <w:bookmarkEnd w:id="25"/>
    </w:p>
    <w:p>
      <w:pPr>
        <w:numPr>
          <w:ilvl w:val="0"/>
          <w:numId w:val="18"/>
        </w:numPr>
        <w:spacing w:line="360" w:after="210" w:lineRule="auto"/>
      </w:pPr>
      <w:r>
        <w:rPr>
          <w:rFonts w:eastAsia="source serif 4" w:cs="source serif 4" w:ascii="source serif 4" w:hAnsi="source serif 4"/>
          <w:b/>
          <w:color w:val="000000"/>
          <w:sz w:val="21"/>
        </w:rPr>
        <w:t xml:space="preserve">CNIL – Guide RGPD pour les associations</w:t>
      </w:r>
      <w:r>
        <w:rPr>
          <w:rFonts w:eastAsia="source serif 4" w:cs="source serif 4" w:ascii="source serif 4" w:hAnsi="source serif 4"/>
          <w:color w:val="000000"/>
          <w:sz w:val="21"/>
        </w:rPr>
        <w:t xml:space="preserve"> : rappel des obligations en matière de données personnelles, utile pour cadrer les usages d’IA.</w:t>
      </w:r>
    </w:p>
    <w:p>
      <w:pPr>
        <w:numPr>
          <w:ilvl w:val="1"/>
          <w:numId w:val="18"/>
        </w:numPr>
        <w:spacing w:line="360" w:before="105" w:after="105" w:lineRule="auto"/>
      </w:pPr>
      <w:hyperlink r:id="rId16">
        <w:r>
          <w:rPr>
            <w:rFonts w:eastAsia="source sans 3" w:cs="source sans 3" w:ascii="source sans 3" w:hAnsi="source sans 3"/>
            <w:color w:val="#000"/>
            <w:sz w:val="21"/>
            <w:u w:val="single"/>
          </w:rPr>
          <w:t xml:space="preserve">https://www.cnil.fr/sites/cnil/files/atoms/files/cnil-guide_association.pdf[^1]</w:t>
        </w:r>
      </w:hyperlink>
    </w:p>
    <w:p>
      <w:pPr>
        <w:numPr>
          <w:ilvl w:val="0"/>
          <w:numId w:val="18"/>
        </w:numPr>
        <w:spacing w:line="360" w:after="210" w:lineRule="auto"/>
      </w:pPr>
      <w:r>
        <w:rPr>
          <w:rFonts w:eastAsia="source serif 4" w:cs="source serif 4" w:ascii="source serif 4" w:hAnsi="source serif 4"/>
          <w:b/>
          <w:color w:val="000000"/>
          <w:sz w:val="21"/>
        </w:rPr>
        <w:t xml:space="preserve">CNIL – IA : recommandations sur le développement et le déploiement de systèmes d’IA</w:t>
      </w:r>
      <w:r>
        <w:rPr>
          <w:rFonts w:eastAsia="source serif 4" w:cs="source serif 4" w:ascii="source serif 4" w:hAnsi="source serif 4"/>
          <w:color w:val="000000"/>
          <w:sz w:val="21"/>
        </w:rPr>
        <w:t xml:space="preserve"> : conseils pratiques pour concevoir et utiliser des systèmes d’IA conformes au RGPD.</w:t>
      </w:r>
    </w:p>
    <w:p>
      <w:pPr>
        <w:numPr>
          <w:ilvl w:val="1"/>
          <w:numId w:val="18"/>
        </w:numPr>
        <w:spacing w:line="360" w:before="105" w:after="105" w:lineRule="auto"/>
      </w:pPr>
      <w:hyperlink r:id="rId17">
        <w:r>
          <w:rPr>
            <w:rFonts w:eastAsia="source sans 3" w:cs="source sans 3" w:ascii="source sans 3" w:hAnsi="source sans 3"/>
            <w:color w:val="#000"/>
            <w:sz w:val="21"/>
            <w:u w:val="single"/>
          </w:rPr>
          <w:t xml:space="preserve">https://www.cnil.fr/fr/developpement-des-systemes-dia-les-recommandations-specifiques[^23]</w:t>
        </w:r>
      </w:hyperlink>
    </w:p>
    <w:p>
      <w:pPr>
        <w:numPr>
          <w:ilvl w:val="1"/>
          <w:numId w:val="18"/>
        </w:numPr>
        <w:spacing w:line="360" w:before="105" w:after="105" w:lineRule="auto"/>
      </w:pPr>
      <w:hyperlink r:id="rId18">
        <w:r>
          <w:rPr>
            <w:rFonts w:eastAsia="source sans 3" w:cs="source sans 3" w:ascii="source sans 3" w:hAnsi="source sans 3"/>
            <w:color w:val="#000"/>
            <w:sz w:val="21"/>
            <w:u w:val="single"/>
          </w:rPr>
          <w:t xml:space="preserve">https://www.cnil.fr/fr/ia-finalisation-recommandations-developpement-des-systemes-ia[^2]</w:t>
        </w:r>
      </w:hyperlink>
    </w:p>
    <w:p>
      <w:pPr>
        <w:spacing w:line="360" w:before="315" w:after="105" w:lineRule="auto"/>
        <w:ind w:left="-30"/>
        <w:jc w:val="left"/>
      </w:pPr>
      <w:bookmarkStart w:id="26" w:name="bm_6_5_outils_et_ressources_de_co_2b8c67"/>
      <w:r>
        <w:rPr>
          <w:rFonts w:eastAsia="source serif 4" w:cs="source serif 4" w:ascii="source serif 4" w:hAnsi="source serif 4"/>
          <w:b/>
          <w:color w:val="000000"/>
          <w:sz w:val="24"/>
        </w:rPr>
        <w:t xml:space="preserve">6.5. Outils et ressources de co‑construction</w:t>
      </w:r>
      <w:bookmarkEnd w:id="26"/>
    </w:p>
    <w:p>
      <w:pPr>
        <w:numPr>
          <w:ilvl w:val="0"/>
          <w:numId w:val="19"/>
        </w:numPr>
        <w:spacing w:line="360" w:after="210" w:lineRule="auto"/>
      </w:pPr>
      <w:r>
        <w:rPr>
          <w:rFonts w:eastAsia="source serif 4" w:cs="source serif 4" w:ascii="source serif 4" w:hAnsi="source serif 4"/>
          <w:b/>
          <w:color w:val="000000"/>
          <w:sz w:val="21"/>
        </w:rPr>
        <w:t xml:space="preserve">Co‑concevoir sa charte autour de l’IA (CaféIA)</w:t>
      </w:r>
      <w:r>
        <w:rPr>
          <w:rFonts w:eastAsia="source serif 4" w:cs="source serif 4" w:ascii="source serif 4" w:hAnsi="source serif 4"/>
          <w:color w:val="000000"/>
          <w:sz w:val="21"/>
        </w:rPr>
        <w:t xml:space="preserve"> : méthodologie participative pour construire une charte IA adaptée à son organisation.</w:t>
      </w:r>
    </w:p>
    <w:p>
      <w:pPr>
        <w:numPr>
          <w:ilvl w:val="1"/>
          <w:numId w:val="19"/>
        </w:numPr>
        <w:spacing w:line="360" w:before="105" w:after="105" w:lineRule="auto"/>
      </w:pPr>
      <w:hyperlink r:id="rId19">
        <w:r>
          <w:rPr>
            <w:rFonts w:eastAsia="source sans 3" w:cs="source sans 3" w:ascii="source sans 3" w:hAnsi="source sans 3"/>
            <w:color w:val="#000"/>
            <w:sz w:val="21"/>
            <w:u w:val="single"/>
          </w:rPr>
          <w:t xml:space="preserve">https://cafeia.org/concevoir-sa-charte-de-lia/[^14]</w:t>
        </w:r>
      </w:hyperlink>
    </w:p>
    <w:p>
      <w:pPr>
        <w:numPr>
          <w:ilvl w:val="0"/>
          <w:numId w:val="19"/>
        </w:numPr>
        <w:spacing w:line="360" w:after="210" w:lineRule="auto"/>
      </w:pPr>
      <w:r>
        <w:rPr>
          <w:rFonts w:eastAsia="source serif 4" w:cs="source serif 4" w:ascii="source serif 4" w:hAnsi="source serif 4"/>
          <w:b/>
          <w:color w:val="000000"/>
          <w:sz w:val="21"/>
        </w:rPr>
        <w:t xml:space="preserve">Ressources d’éducation populaire au numérique</w:t>
      </w:r>
      <w:r>
        <w:rPr>
          <w:rFonts w:eastAsia="source serif 4" w:cs="source serif 4" w:ascii="source serif 4" w:hAnsi="source serif 4"/>
          <w:color w:val="000000"/>
          <w:sz w:val="21"/>
        </w:rPr>
        <w:t xml:space="preserve"> : dossiers et fiches d’animation qui peuvent être combinés à une démarche de charte IA (ex. FONJEP, Internet Sans Crainte, Les Bases du numérique d’intérêt général).</w:t>
      </w:r>
    </w:p>
    <w:p>
      <w:pPr>
        <w:numPr>
          <w:ilvl w:val="1"/>
          <w:numId w:val="19"/>
        </w:numPr>
        <w:spacing w:line="360" w:before="105" w:after="105" w:lineRule="auto"/>
      </w:pPr>
      <w:r>
        <w:rPr>
          <w:rFonts w:eastAsia="source serif 4" w:cs="source serif 4" w:ascii="source serif 4" w:hAnsi="source serif 4"/>
          <w:color w:val="000000"/>
          <w:sz w:val="21"/>
        </w:rPr>
        <w:t xml:space="preserve">Exemple de portail de ressources : </w:t>
      </w:r>
      <w:hyperlink r:id="rId20">
        <w:r>
          <w:rPr>
            <w:rFonts w:eastAsia="source sans 3" w:cs="source sans 3" w:ascii="source sans 3" w:hAnsi="source sans 3"/>
            <w:color w:val="#000"/>
            <w:sz w:val="21"/>
            <w:u w:val="single"/>
          </w:rPr>
          <w:t xml:space="preserve">https://lesbases.anct.gouv.fr/ressources/ressources-a-emprunter[^24]</w:t>
        </w:r>
      </w:hyperlink>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27" w:name="references"/>
      <w:r>
        <w:rPr>
          <w:rFonts w:eastAsia="source serif 4" w:cs="source serif 4" w:ascii="source serif 4" w:hAnsi="source serif 4"/>
          <w:b/>
          <w:color w:val="000000"/>
          <w:sz w:val="24"/>
        </w:rPr>
        <w:t xml:space="preserve">References</w:t>
      </w:r>
      <w:bookmarkEnd w:id="27"/>
    </w:p>
    <w:p>
      <w:pPr>
        <w:numPr>
          <w:ilvl w:val="0"/>
          <w:numId w:val="20"/>
        </w:numPr>
        <w:spacing w:line="360" w:after="210" w:lineRule="auto"/>
      </w:pPr>
      <w:hyperlink r:id="rId21">
        <w:r>
          <w:rPr>
            <w:rFonts w:eastAsia="source sans 3" w:cs="source sans 3" w:ascii="source sans 3" w:hAnsi="source sans 3"/>
            <w:color w:val="#000"/>
            <w:sz w:val="21"/>
            <w:u w:val="single"/>
          </w:rPr>
          <w:t xml:space="preserve">[PDF] Guide de sensibilisation au RGPD pour les asso - CNIL</w:t>
        </w:r>
      </w:hyperlink>
    </w:p>
    <w:p>
      <w:pPr>
        <w:numPr>
          <w:ilvl w:val="0"/>
          <w:numId w:val="20"/>
        </w:numPr>
        <w:spacing w:line="360" w:after="210" w:lineRule="auto"/>
      </w:pPr>
      <w:hyperlink r:id="rId22">
        <w:r>
          <w:rPr>
            <w:rFonts w:eastAsia="source sans 3" w:cs="source sans 3" w:ascii="source sans 3" w:hAnsi="source sans 3"/>
            <w:color w:val="#000"/>
            <w:sz w:val="21"/>
            <w:u w:val="single"/>
          </w:rPr>
          <w:t xml:space="preserve">IA : la CNIL finalise ses recommandations sur le développement des systèmes d’IA et annonce ses futurs travaux</w:t>
        </w:r>
      </w:hyperlink>
      <w:r>
        <w:rPr>
          <w:rFonts w:eastAsia="source serif 4" w:cs="source serif 4" w:ascii="source serif 4" w:hAnsi="source serif 4"/>
          <w:color w:val="000000"/>
          <w:sz w:val="21"/>
        </w:rPr>
        <w:t xml:space="preserve"> - Les nouvelles recommandations de la CNIL Les modèles d’IA entraînés sur des données personnelles peu...</w:t>
      </w:r>
    </w:p>
    <w:p>
      <w:pPr>
        <w:numPr>
          <w:ilvl w:val="0"/>
          <w:numId w:val="20"/>
        </w:numPr>
        <w:spacing w:line="360" w:after="210" w:lineRule="auto"/>
      </w:pPr>
      <w:hyperlink r:id="rId23">
        <w:r>
          <w:rPr>
            <w:rFonts w:eastAsia="source sans 3" w:cs="source sans 3" w:ascii="source sans 3" w:hAnsi="source sans 3"/>
            <w:color w:val="#000"/>
            <w:sz w:val="21"/>
            <w:u w:val="single"/>
          </w:rPr>
          <w:t xml:space="preserve">Comment déployer une IA générative ? La CNIL apporte ...</w:t>
        </w:r>
      </w:hyperlink>
      <w:r>
        <w:rPr>
          <w:rFonts w:eastAsia="source serif 4" w:cs="source serif 4" w:ascii="source serif 4" w:hAnsi="source serif 4"/>
          <w:color w:val="000000"/>
          <w:sz w:val="21"/>
        </w:rPr>
        <w:t xml:space="preserve"> - Qu’est-ce que l’IA générative ? L'intelligence artificielle dite « générative » désigne les systèmes...</w:t>
      </w:r>
    </w:p>
    <w:p>
      <w:pPr>
        <w:numPr>
          <w:ilvl w:val="0"/>
          <w:numId w:val="20"/>
        </w:numPr>
        <w:spacing w:line="360" w:after="210" w:lineRule="auto"/>
      </w:pPr>
      <w:hyperlink r:id="rId24">
        <w:r>
          <w:rPr>
            <w:rFonts w:eastAsia="source sans 3" w:cs="source sans 3" w:ascii="source sans 3" w:hAnsi="source sans 3"/>
            <w:color w:val="#000"/>
            <w:sz w:val="21"/>
            <w:u w:val="single"/>
          </w:rPr>
          <w:t xml:space="preserve">L'Institut du Numérique Responsable dévoile sa Charte de ...</w:t>
        </w:r>
      </w:hyperlink>
      <w:r>
        <w:rPr>
          <w:rFonts w:eastAsia="source serif 4" w:cs="source serif 4" w:ascii="source serif 4" w:hAnsi="source serif 4"/>
          <w:color w:val="000000"/>
          <w:sz w:val="21"/>
        </w:rPr>
        <w:t xml:space="preserve"> - Ce document invite les entreprises ainsi que le secteur public et les associations à évaluer leurs u...</w:t>
      </w:r>
    </w:p>
    <w:p>
      <w:pPr>
        <w:numPr>
          <w:ilvl w:val="0"/>
          <w:numId w:val="20"/>
        </w:numPr>
        <w:spacing w:line="360" w:after="210" w:lineRule="auto"/>
      </w:pPr>
      <w:hyperlink r:id="rId25">
        <w:r>
          <w:rPr>
            <w:rFonts w:eastAsia="source sans 3" w:cs="source sans 3" w:ascii="source sans 3" w:hAnsi="source sans 3"/>
            <w:color w:val="#000"/>
            <w:sz w:val="21"/>
            <w:u w:val="single"/>
          </w:rPr>
          <w:t xml:space="preserve">Charte d'utilisation des intelligences artificielles (IA)</w:t>
        </w:r>
      </w:hyperlink>
    </w:p>
    <w:p>
      <w:pPr>
        <w:numPr>
          <w:ilvl w:val="0"/>
          <w:numId w:val="20"/>
        </w:numPr>
        <w:spacing w:line="360" w:after="210" w:lineRule="auto"/>
      </w:pPr>
      <w:hyperlink r:id="rId26">
        <w:r>
          <w:rPr>
            <w:rFonts w:eastAsia="source sans 3" w:cs="source sans 3" w:ascii="source sans 3" w:hAnsi="source sans 3"/>
            <w:color w:val="#000"/>
            <w:sz w:val="21"/>
            <w:u w:val="single"/>
          </w:rPr>
          <w:t xml:space="preserve">Éthique de l'intelligence artificielle - UNESCO</w:t>
        </w:r>
      </w:hyperlink>
      <w:r>
        <w:rPr>
          <w:rFonts w:eastAsia="source serif 4" w:cs="source serif 4" w:ascii="source serif 4" w:hAnsi="source serif 4"/>
          <w:color w:val="000000"/>
          <w:sz w:val="21"/>
        </w:rPr>
        <w:t xml:space="preserve"> - Recommandation éthique IA : Les orientations mondiales pour une intelligence artificielle responsabl...</w:t>
      </w:r>
    </w:p>
    <w:p>
      <w:pPr>
        <w:numPr>
          <w:ilvl w:val="0"/>
          <w:numId w:val="20"/>
        </w:numPr>
        <w:spacing w:line="360" w:after="210" w:lineRule="auto"/>
      </w:pPr>
      <w:hyperlink r:id="rId27">
        <w:r>
          <w:rPr>
            <w:rFonts w:eastAsia="source sans 3" w:cs="source sans 3" w:ascii="source sans 3" w:hAnsi="source sans 3"/>
            <w:color w:val="#000"/>
            <w:sz w:val="21"/>
            <w:u w:val="single"/>
          </w:rPr>
          <w:t xml:space="preserve">[PDF] Charte pour une utilisation éthique de l'Intelligence Artificielle</w:t>
        </w:r>
      </w:hyperlink>
    </w:p>
    <w:p>
      <w:pPr>
        <w:numPr>
          <w:ilvl w:val="0"/>
          <w:numId w:val="20"/>
        </w:numPr>
        <w:spacing w:line="360" w:after="210" w:lineRule="auto"/>
      </w:pPr>
      <w:hyperlink r:id="rId28">
        <w:r>
          <w:rPr>
            <w:rFonts w:eastAsia="source sans 3" w:cs="source sans 3" w:ascii="source sans 3" w:hAnsi="source sans 3"/>
            <w:color w:val="#000"/>
            <w:sz w:val="21"/>
            <w:u w:val="single"/>
          </w:rPr>
          <w:t xml:space="preserve">Lignes directrices en matière d'éthique pour une IA digne de confiance</w:t>
        </w:r>
      </w:hyperlink>
      <w:r>
        <w:rPr>
          <w:rFonts w:eastAsia="source serif 4" w:cs="source serif 4" w:ascii="source serif 4" w:hAnsi="source serif 4"/>
          <w:color w:val="000000"/>
          <w:sz w:val="21"/>
        </w:rPr>
        <w:t xml:space="preserve"> - Le 8 avril 2019, le groupe d’experts de haut niveau sur l’IA a publié des «Lignes directrices en mat...</w:t>
      </w:r>
    </w:p>
    <w:p>
      <w:pPr>
        <w:numPr>
          <w:ilvl w:val="0"/>
          <w:numId w:val="20"/>
        </w:numPr>
        <w:spacing w:line="360" w:after="210" w:lineRule="auto"/>
      </w:pPr>
      <w:hyperlink r:id="rId29">
        <w:r>
          <w:rPr>
            <w:rFonts w:eastAsia="source sans 3" w:cs="source sans 3" w:ascii="source sans 3" w:hAnsi="source sans 3"/>
            <w:color w:val="#000"/>
            <w:sz w:val="21"/>
            <w:u w:val="single"/>
          </w:rPr>
          <w:t xml:space="preserve">Groupe d'experts de haut niveau sur l'intelligence artificielle</w:t>
        </w:r>
      </w:hyperlink>
    </w:p>
    <w:p>
      <w:pPr>
        <w:numPr>
          <w:ilvl w:val="0"/>
          <w:numId w:val="20"/>
        </w:numPr>
        <w:spacing w:line="360" w:after="210" w:lineRule="auto"/>
      </w:pPr>
      <w:hyperlink r:id="rId30">
        <w:r>
          <w:rPr>
            <w:rFonts w:eastAsia="source sans 3" w:cs="source sans 3" w:ascii="source sans 3" w:hAnsi="source sans 3"/>
            <w:color w:val="#000"/>
            <w:sz w:val="21"/>
            <w:u w:val="single"/>
          </w:rPr>
          <w:t xml:space="preserve">IA : Un modèle de charte d'utilisation des intelligences ...</w:t>
        </w:r>
      </w:hyperlink>
    </w:p>
    <w:p>
      <w:pPr>
        <w:numPr>
          <w:ilvl w:val="0"/>
          <w:numId w:val="20"/>
        </w:numPr>
        <w:spacing w:line="360" w:after="210" w:lineRule="auto"/>
      </w:pPr>
      <w:hyperlink r:id="rId31">
        <w:r>
          <w:rPr>
            <w:rFonts w:eastAsia="source sans 3" w:cs="source sans 3" w:ascii="source sans 3" w:hAnsi="source sans 3"/>
            <w:color w:val="#000"/>
            <w:sz w:val="21"/>
            <w:u w:val="single"/>
          </w:rPr>
          <w:t xml:space="preserve">Portail des chartes IA dans l'administration</w:t>
        </w:r>
      </w:hyperlink>
      <w:r>
        <w:rPr>
          <w:rFonts w:eastAsia="source serif 4" w:cs="source serif 4" w:ascii="source serif 4" w:hAnsi="source serif 4"/>
          <w:color w:val="000000"/>
          <w:sz w:val="21"/>
        </w:rPr>
        <w:t xml:space="preserve"> - Découvrez les principales références publiques sur l’IA pour partager les bonnes pratiques, favorise...</w:t>
      </w:r>
    </w:p>
    <w:p>
      <w:pPr>
        <w:numPr>
          <w:ilvl w:val="0"/>
          <w:numId w:val="20"/>
        </w:numPr>
        <w:spacing w:line="360" w:after="210" w:lineRule="auto"/>
      </w:pPr>
      <w:hyperlink r:id="rId32">
        <w:r>
          <w:rPr>
            <w:rFonts w:eastAsia="source sans 3" w:cs="source sans 3" w:ascii="source sans 3" w:hAnsi="source sans 3"/>
            <w:color w:val="#000"/>
            <w:sz w:val="21"/>
            <w:u w:val="single"/>
          </w:rPr>
          <w:t xml:space="preserve">Numérique : un enjeu d'éducation populaire - FONJEP</w:t>
        </w:r>
      </w:hyperlink>
      <w:r>
        <w:rPr>
          <w:rFonts w:eastAsia="source serif 4" w:cs="source serif 4" w:ascii="source serif 4" w:hAnsi="source serif 4"/>
          <w:color w:val="000000"/>
          <w:sz w:val="21"/>
        </w:rPr>
        <w:t xml:space="preserve"> - Les intervenants ont proposé des réponses à travers plusieurs angles d'approche : L'éducation popula...</w:t>
      </w:r>
    </w:p>
    <w:p>
      <w:pPr>
        <w:numPr>
          <w:ilvl w:val="0"/>
          <w:numId w:val="20"/>
        </w:numPr>
        <w:spacing w:line="360" w:after="210" w:lineRule="auto"/>
      </w:pPr>
      <w:hyperlink r:id="rId33">
        <w:r>
          <w:rPr>
            <w:rFonts w:eastAsia="source sans 3" w:cs="source sans 3" w:ascii="source sans 3" w:hAnsi="source sans 3"/>
            <w:color w:val="#000"/>
            <w:sz w:val="21"/>
            <w:u w:val="single"/>
          </w:rPr>
          <w:t xml:space="preserve">Internet Sans Crainte</w:t>
        </w:r>
      </w:hyperlink>
      <w:r>
        <w:rPr>
          <w:rFonts w:eastAsia="source serif 4" w:cs="source serif 4" w:ascii="source serif 4" w:hAnsi="source serif 4"/>
          <w:color w:val="000000"/>
          <w:sz w:val="21"/>
        </w:rPr>
        <w:t xml:space="preserve"> - Programme national de sensibilisation des jeunes au numérique. Des centaines de ressources gratuites...</w:t>
      </w:r>
    </w:p>
    <w:p>
      <w:pPr>
        <w:numPr>
          <w:ilvl w:val="0"/>
          <w:numId w:val="20"/>
        </w:numPr>
        <w:spacing w:line="360" w:after="210" w:lineRule="auto"/>
      </w:pPr>
      <w:hyperlink r:id="rId34">
        <w:r>
          <w:rPr>
            <w:rFonts w:eastAsia="source sans 3" w:cs="source sans 3" w:ascii="source sans 3" w:hAnsi="source sans 3"/>
            <w:color w:val="#000"/>
            <w:sz w:val="21"/>
            <w:u w:val="single"/>
          </w:rPr>
          <w:t xml:space="preserve">Co-concevoir sa charte autour de l'iA</w:t>
        </w:r>
      </w:hyperlink>
    </w:p>
    <w:p>
      <w:pPr>
        <w:numPr>
          <w:ilvl w:val="0"/>
          <w:numId w:val="20"/>
        </w:numPr>
        <w:spacing w:line="360" w:after="210" w:lineRule="auto"/>
      </w:pPr>
      <w:hyperlink r:id="rId35">
        <w:r>
          <w:rPr>
            <w:rFonts w:eastAsia="source sans 3" w:cs="source sans 3" w:ascii="source sans 3" w:hAnsi="source sans 3"/>
            <w:color w:val="#000"/>
            <w:sz w:val="21"/>
            <w:u w:val="single"/>
          </w:rPr>
          <w:t xml:space="preserve">L'Institut du Numérique Responsable lance la Charte de l'IA responsable</w:t>
        </w:r>
      </w:hyperlink>
      <w:r>
        <w:rPr>
          <w:rFonts w:eastAsia="source serif 4" w:cs="source serif 4" w:ascii="source serif 4" w:hAnsi="source serif 4"/>
          <w:color w:val="000000"/>
          <w:sz w:val="21"/>
        </w:rPr>
        <w:t xml:space="preserve"> - L’Institut du Numérique Responsable (INR) a dévoilé début octobre la Charte IA Responsable, un nouve...</w:t>
      </w:r>
    </w:p>
    <w:p>
      <w:pPr>
        <w:numPr>
          <w:ilvl w:val="0"/>
          <w:numId w:val="20"/>
        </w:numPr>
        <w:spacing w:line="360" w:after="210" w:lineRule="auto"/>
      </w:pPr>
      <w:hyperlink r:id="rId36">
        <w:r>
          <w:rPr>
            <w:rFonts w:eastAsia="source sans 3" w:cs="source sans 3" w:ascii="source sans 3" w:hAnsi="source sans 3"/>
            <w:color w:val="#000"/>
            <w:sz w:val="21"/>
            <w:u w:val="single"/>
          </w:rPr>
          <w:t xml:space="preserve">La Charte Numérique Responsable évolue !</w:t>
        </w:r>
      </w:hyperlink>
      <w:r>
        <w:rPr>
          <w:rFonts w:eastAsia="source serif 4" w:cs="source serif 4" w:ascii="source serif 4" w:hAnsi="source serif 4"/>
          <w:color w:val="000000"/>
          <w:sz w:val="21"/>
        </w:rPr>
        <w:t xml:space="preserve"> - La Charte Numérique Responsable constitue une première étape vers un numérique vertueux. L'INR fait ...</w:t>
      </w:r>
    </w:p>
    <w:p>
      <w:pPr>
        <w:numPr>
          <w:ilvl w:val="0"/>
          <w:numId w:val="20"/>
        </w:numPr>
        <w:spacing w:line="360" w:after="210" w:lineRule="auto"/>
      </w:pPr>
      <w:hyperlink r:id="rId37">
        <w:r>
          <w:rPr>
            <w:rFonts w:eastAsia="source sans 3" w:cs="source sans 3" w:ascii="source sans 3" w:hAnsi="source sans 3"/>
            <w:color w:val="#000"/>
            <w:sz w:val="21"/>
            <w:u w:val="single"/>
          </w:rPr>
          <w:t xml:space="preserve">Article 50 : Obligations de transparence pour les ...</w:t>
        </w:r>
      </w:hyperlink>
    </w:p>
    <w:p>
      <w:pPr>
        <w:numPr>
          <w:ilvl w:val="0"/>
          <w:numId w:val="20"/>
        </w:numPr>
        <w:spacing w:line="360" w:after="210" w:lineRule="auto"/>
      </w:pPr>
      <w:hyperlink r:id="rId38">
        <w:r>
          <w:rPr>
            <w:rFonts w:eastAsia="source sans 3" w:cs="source sans 3" w:ascii="source sans 3" w:hAnsi="source sans 3"/>
            <w:color w:val="#000"/>
            <w:sz w:val="21"/>
            <w:u w:val="single"/>
          </w:rPr>
          <w:t xml:space="preserve">Règlement sur le développement de l'informatique en nuage ...</w:t>
        </w:r>
      </w:hyperlink>
      <w:r>
        <w:rPr>
          <w:rFonts w:eastAsia="source serif 4" w:cs="source serif 4" w:ascii="source serif 4" w:hAnsi="source serif 4"/>
          <w:color w:val="000000"/>
          <w:sz w:val="21"/>
        </w:rPr>
        <w:t xml:space="preserve"> - Le règlement sur le développement de l’informatique en nuage et de l’IA renforcera la souveraineté e...</w:t>
      </w:r>
    </w:p>
    <w:p>
      <w:pPr>
        <w:numPr>
          <w:ilvl w:val="0"/>
          <w:numId w:val="20"/>
        </w:numPr>
        <w:spacing w:line="360" w:after="210" w:lineRule="auto"/>
      </w:pPr>
      <w:hyperlink r:id="rId39">
        <w:r>
          <w:rPr>
            <w:rFonts w:eastAsia="source sans 3" w:cs="source sans 3" w:ascii="source sans 3" w:hAnsi="source sans 3"/>
            <w:color w:val="#000"/>
            <w:sz w:val="21"/>
            <w:u w:val="single"/>
          </w:rPr>
          <w:t xml:space="preserve">Charte IA - Charte Numérique Responsable » - ISIT Europe</w:t>
        </w:r>
      </w:hyperlink>
    </w:p>
    <w:p>
      <w:pPr>
        <w:numPr>
          <w:ilvl w:val="0"/>
          <w:numId w:val="20"/>
        </w:numPr>
        <w:spacing w:line="360" w:after="210" w:lineRule="auto"/>
      </w:pPr>
      <w:hyperlink r:id="rId40">
        <w:r>
          <w:rPr>
            <w:rFonts w:eastAsia="source sans 3" w:cs="source sans 3" w:ascii="source sans 3" w:hAnsi="source sans 3"/>
            <w:color w:val="#000"/>
            <w:sz w:val="21"/>
            <w:u w:val="single"/>
          </w:rPr>
          <w:t xml:space="preserve">Entrée en vigueur du règlement européen sur l'IA</w:t>
        </w:r>
      </w:hyperlink>
      <w:r>
        <w:rPr>
          <w:rFonts w:eastAsia="source serif 4" w:cs="source serif 4" w:ascii="source serif 4" w:hAnsi="source serif 4"/>
          <w:color w:val="000000"/>
          <w:sz w:val="21"/>
        </w:rPr>
        <w:t xml:space="preserve"> - Le règlement européen sur l’IA (ou AI Act) vient d’être publié au Journal officiel de l’Union europé...</w:t>
      </w:r>
    </w:p>
    <w:p>
      <w:pPr>
        <w:numPr>
          <w:ilvl w:val="0"/>
          <w:numId w:val="20"/>
        </w:numPr>
        <w:spacing w:line="360" w:after="210" w:lineRule="auto"/>
      </w:pPr>
      <w:hyperlink r:id="rId41">
        <w:r>
          <w:rPr>
            <w:rFonts w:eastAsia="source sans 3" w:cs="source sans 3" w:ascii="source sans 3" w:hAnsi="source sans 3"/>
            <w:color w:val="#000"/>
            <w:sz w:val="21"/>
            <w:u w:val="single"/>
          </w:rPr>
          <w:t xml:space="preserve">Charte IA Responsable : pour une intelligence artificielle éthique ...</w:t>
        </w:r>
      </w:hyperlink>
      <w:r>
        <w:rPr>
          <w:rFonts w:eastAsia="source serif 4" w:cs="source serif 4" w:ascii="source serif 4" w:hAnsi="source serif 4"/>
          <w:color w:val="000000"/>
          <w:sz w:val="21"/>
        </w:rPr>
        <w:t xml:space="preserve"> - La boîte à outils des professionnels de l’apprentissage, de la formation et de l’évolution professio...</w:t>
      </w:r>
    </w:p>
    <w:p>
      <w:pPr>
        <w:numPr>
          <w:ilvl w:val="0"/>
          <w:numId w:val="20"/>
        </w:numPr>
        <w:spacing w:line="360" w:after="210" w:lineRule="auto"/>
      </w:pPr>
      <w:hyperlink r:id="rId42">
        <w:r>
          <w:rPr>
            <w:rFonts w:eastAsia="source sans 3" w:cs="source sans 3" w:ascii="source sans 3" w:hAnsi="source sans 3"/>
            <w:color w:val="#000"/>
            <w:sz w:val="21"/>
            <w:u w:val="single"/>
          </w:rPr>
          <w:t xml:space="preserve">lignes directrices en matiere d'ethique pour l'ia</w:t>
        </w:r>
      </w:hyperlink>
    </w:p>
    <w:p>
      <w:pPr>
        <w:numPr>
          <w:ilvl w:val="0"/>
          <w:numId w:val="20"/>
        </w:numPr>
        <w:spacing w:line="360" w:after="210" w:lineRule="auto"/>
      </w:pPr>
      <w:hyperlink r:id="rId43">
        <w:r>
          <w:rPr>
            <w:rFonts w:eastAsia="source sans 3" w:cs="source sans 3" w:ascii="source sans 3" w:hAnsi="source sans 3"/>
            <w:color w:val="#000"/>
            <w:sz w:val="21"/>
            <w:u w:val="single"/>
          </w:rPr>
          <w:t xml:space="preserve">Développement des systèmes d'IA : les recommandations ...</w:t>
        </w:r>
      </w:hyperlink>
    </w:p>
    <w:p>
      <w:pPr>
        <w:numPr>
          <w:ilvl w:val="0"/>
          <w:numId w:val="20"/>
        </w:numPr>
        <w:spacing w:line="360" w:after="210" w:lineRule="auto"/>
      </w:pPr>
      <w:hyperlink r:id="rId44">
        <w:r>
          <w:rPr>
            <w:rFonts w:eastAsia="source sans 3" w:cs="source sans 3" w:ascii="source sans 3" w:hAnsi="source sans 3"/>
            <w:color w:val="#000"/>
            <w:sz w:val="21"/>
            <w:u w:val="single"/>
          </w:rPr>
          <w:t xml:space="preserve">Ressources à emprunter | Les Bases du numérique d'intérêt général</w:t>
        </w:r>
      </w:hyperlink>
      <w:r>
        <w:rPr>
          <w:rFonts w:eastAsia="source serif 4" w:cs="source serif 4" w:ascii="source serif 4" w:hAnsi="source serif 4"/>
          <w:color w:val="000000"/>
          <w:sz w:val="21"/>
        </w:rPr>
        <w:t xml:space="preserve"> - Ressources que vous pouvez emprunter pour vos animations !</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ource serif 4">
    <w:family w:val="auto"/>
    <w:pitch w:val="variable"/>
  </w:font>
  <w:font w:name="source sans 3">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multiLevelType w:val="hybridMultilevel"/>
    <w:lvl w:ilvl="0">
      <w:start w:val="1"/>
      <w:numFmt w:val="decimal"/>
      <w:lvlText w:val="%1."/>
      <w:lvlJc w:val="left"/>
      <w:pPr>
        <w:tabs>
          <w:tab w:val="num" w:pos="900"/>
        </w:tabs>
        <w:ind w:left="540" w:hanging="360"/>
      </w:pPr>
    </w:lvl>
  </w:abstractNum>
  <w:abstractNum w:abstractNumId="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3">
    <w:multiLevelType w:val="hybridMultilevel"/>
    <w:lvl w:ilvl="0">
      <w:start w:val="1"/>
      <w:numFmt w:val="decimal"/>
      <w:lvlText w:val="%1."/>
      <w:lvlJc w:val="left"/>
      <w:pPr>
        <w:tabs>
          <w:tab w:val="num" w:pos="900"/>
        </w:tabs>
        <w:ind w:left="540" w:hanging="360"/>
      </w:p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5">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6">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7">
    <w:multiLevelType w:val="hybridMultilevel"/>
    <w:lvl w:ilvl="0">
      <w:start w:val="1"/>
      <w:numFmt w:val="decimal"/>
      <w:lvlText w:val="%1."/>
      <w:lvlJc w:val="left"/>
      <w:pPr>
        <w:tabs>
          <w:tab w:val="num" w:pos="900"/>
        </w:tabs>
        <w:ind w:left="540" w:hanging="360"/>
      </w:p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8">
    <w:multiLevelType w:val="hybridMultilevel"/>
    <w:lvl w:ilvl="0">
      <w:start w:val="1"/>
      <w:numFmt w:val="decimal"/>
      <w:lvlText w:val="%1."/>
      <w:lvlJc w:val="left"/>
      <w:pPr>
        <w:tabs>
          <w:tab w:val="num" w:pos="900"/>
        </w:tabs>
        <w:ind w:left="540" w:hanging="360"/>
      </w:pPr>
    </w:lvl>
  </w:abstractNum>
  <w:abstractNum w:abstractNumId="9">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0">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5">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6">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7">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8">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9">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20">
    <w:multiLevelType w:val="hybridMultilevel"/>
    <w:lvl w:ilvl="0">
      <w:start w:val="1"/>
      <w:numFmt w:val="decimal"/>
      <w:lvlText w:val="%1."/>
      <w:lvlJc w:val="left"/>
      <w:pPr>
        <w:tabs>
          <w:tab w:val="num" w:pos="900"/>
        </w:tabs>
        <w:ind w:left="54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fr-FR"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fr-FR" w:eastAsia="en-US" w:bidi="ar-SA"/>
    </w:rPr>
  </w:style>
  <w:style w:type="character" w:customStyle="1" w:styleId="VerbatimChar">
    <w:name w:val="Verbatim Char"/>
    <w:basedOn w:val="BodyTextChar"/>
    <w:rPr>
      <w:rFonts w:ascii="Consolas" w:hAnsi="Consolas"/>
      <w:sz w:val="22"/>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unesco.org/fr/artificial-intelligence/recommendation-ethics%5B%5E6%5D" TargetMode="External"/><Relationship Id="rId6" Type="http://schemas.openxmlformats.org/officeDocument/2006/relationships/hyperlink" Target="https://digital-strategy.ec.europa.eu/fr/library/ethics-guidelines-trustworthy-ai%5B%5E8%5D" TargetMode="External"/><Relationship Id="rId7" Type="http://schemas.openxmlformats.org/officeDocument/2006/relationships/hyperlink" Target="https://www.cep.eu/fileadmin/user_upload/cep.eu/Analysen/COM_2019_168_Ethik_in_KI/CA_COM_2019__168__Lignes_directrices_en_matier.pdf%5B%5E22%5D" TargetMode="External"/><Relationship Id="rId8" Type="http://schemas.openxmlformats.org/officeDocument/2006/relationships/hyperlink" Target="https://www.cdg76.fr/modeles_d_actes/charte-dutilisation-des-intelligences-artificielles-ia/%5B%5E5%5D" TargetMode="External"/><Relationship Id="rId9" Type="http://schemas.openxmlformats.org/officeDocument/2006/relationships/hyperlink" Target="https://www.cdg76.fr/actualites/ia-un-modele-de-charte-dutilisation-des-intelligences-artificielles-mis-a-votre-disposition/%5B%5E10%5D" TargetMode="External"/><Relationship Id="rId10" Type="http://schemas.openxmlformats.org/officeDocument/2006/relationships/hyperlink" Target="https://www.archimag.com/numerique-responsable/2025/10/23/institut-numerique-responsable-devoile-charte-ia-responsable%5B%5E4%5D" TargetMode="External"/><Relationship Id="rId11" Type="http://schemas.openxmlformats.org/officeDocument/2006/relationships/hyperlink" Target="https://www.solutions-numeriques.com/linstitut-du-numerique-responsable-lance-la-charte-de-lia-responsable/%5B%5E15%5D" TargetMode="External"/><Relationship Id="rId12" Type="http://schemas.openxmlformats.org/officeDocument/2006/relationships/hyperlink" Target="https://institutnr.org/la-charte-numerique-responsable-evolue%5B%5E16%5D" TargetMode="External"/><Relationship Id="rId13" Type="http://schemas.openxmlformats.org/officeDocument/2006/relationships/hyperlink" Target="https://charter.isit-europe.org/charte-ia/?lang=en_US%5B%5E19%5D" TargetMode="External"/><Relationship Id="rId14" Type="http://schemas.openxmlformats.org/officeDocument/2006/relationships/hyperlink" Target="https://www.strasbourg.eu/documents/976405/479108143/EMS_CharteIA_2025+6.pdf%5B%5E7%5D" TargetMode="External"/><Relationship Id="rId15" Type="http://schemas.openxmlformats.org/officeDocument/2006/relationships/hyperlink" Target="https://ia.numerique.gouv.fr/ressources/portail-des-chartes-ia-dans-ladministration/%5B%5E11%5D" TargetMode="External"/><Relationship Id="rId16" Type="http://schemas.openxmlformats.org/officeDocument/2006/relationships/hyperlink" Target="https://www.cnil.fr/sites/cnil/files/atoms/files/cnil-guide_association.pdf%5B%5E1%5D" TargetMode="External"/><Relationship Id="rId17" Type="http://schemas.openxmlformats.org/officeDocument/2006/relationships/hyperlink" Target="https://www.cnil.fr/fr/developpement-des-systemes-dia-les-recommandations-specifiques%5B%5E23%5D" TargetMode="External"/><Relationship Id="rId18" Type="http://schemas.openxmlformats.org/officeDocument/2006/relationships/hyperlink" Target="https://www.cnil.fr/fr/ia-finalisation-recommandations-developpement-des-systemes-ia%5B%5E2%5D" TargetMode="External"/><Relationship Id="rId19" Type="http://schemas.openxmlformats.org/officeDocument/2006/relationships/hyperlink" Target="https://cafeia.org/concevoir-sa-charte-de-lia/%5B%5E14%5D" TargetMode="External"/><Relationship Id="rId20" Type="http://schemas.openxmlformats.org/officeDocument/2006/relationships/hyperlink" Target="https://lesbases.anct.gouv.fr/ressources/ressources-a-emprunter%5B%5E24%5D" TargetMode="External"/><Relationship Id="rId21" Type="http://schemas.openxmlformats.org/officeDocument/2006/relationships/hyperlink" Target="https://www.cnil.fr/sites/cnil/files/atoms/files/cnil-guide_association.pdf" TargetMode="External"/><Relationship Id="rId22" Type="http://schemas.openxmlformats.org/officeDocument/2006/relationships/hyperlink" Target="https://www.cnil.fr/fr/ia-finalisation-recommandations-developpement-des-systemes-ia" TargetMode="External"/><Relationship Id="rId23" Type="http://schemas.openxmlformats.org/officeDocument/2006/relationships/hyperlink" Target="https://www.cnil.fr/fr/comment-deployer-une-ia-generative-la-cnil-apporte-de-premieres-precisions" TargetMode="External"/><Relationship Id="rId24" Type="http://schemas.openxmlformats.org/officeDocument/2006/relationships/hyperlink" Target="https://www.archimag.com/numerique-responsable/2025/10/23/institut-numerique-responsable-devoile-charte-ia-responsable" TargetMode="External"/><Relationship Id="rId25" Type="http://schemas.openxmlformats.org/officeDocument/2006/relationships/hyperlink" Target="https://www.cdg76.fr/modeles_d_actes/charte-dutilisation-des-intelligences-artificielles-ia/" TargetMode="External"/><Relationship Id="rId26" Type="http://schemas.openxmlformats.org/officeDocument/2006/relationships/hyperlink" Target="https://www.unesco.org/fr/artificial-intelligence/recommendation-ethics" TargetMode="External"/><Relationship Id="rId27" Type="http://schemas.openxmlformats.org/officeDocument/2006/relationships/hyperlink" Target="https://www.strasbourg.eu/documents/976405/479108143/EMS_CharteIA_2025+6.pdf/bfa3d317-bf8c-320e-c7ab-91c675944be4?version=1.1&amp;t=1758876759291" TargetMode="External"/><Relationship Id="rId28" Type="http://schemas.openxmlformats.org/officeDocument/2006/relationships/hyperlink" Target="https://digital-strategy.ec.europa.eu/fr/library/ethics-guidelines-trustworthy-ai" TargetMode="External"/><Relationship Id="rId29" Type="http://schemas.openxmlformats.org/officeDocument/2006/relationships/hyperlink" Target="https://chaire-actionpublique.fr/wp-content/uploads/2020/12/recommandations_%C3%A9thique_IA.pdf" TargetMode="External"/><Relationship Id="rId30" Type="http://schemas.openxmlformats.org/officeDocument/2006/relationships/hyperlink" Target="https://www.cdg76.fr/actualites/ia-un-modele-de-charte-dutilisation-des-intelligences-artificielles-mis-a-votre-disposition/" TargetMode="External"/><Relationship Id="rId31" Type="http://schemas.openxmlformats.org/officeDocument/2006/relationships/hyperlink" Target="https://ia.numerique.gouv.fr/ressources/portail-des-chartes-ia-dans-ladministration/" TargetMode="External"/><Relationship Id="rId32" Type="http://schemas.openxmlformats.org/officeDocument/2006/relationships/hyperlink" Target="https://www.fonjep.org/rencontre/projep/numerique-un-enjeu-deducation-populaire" TargetMode="External"/><Relationship Id="rId33" Type="http://schemas.openxmlformats.org/officeDocument/2006/relationships/hyperlink" Target="https://www.internetsanscrainte.fr" TargetMode="External"/><Relationship Id="rId34" Type="http://schemas.openxmlformats.org/officeDocument/2006/relationships/hyperlink" Target="https://cafeia.org/concevoir-sa-charte-de-lia/" TargetMode="External"/><Relationship Id="rId35" Type="http://schemas.openxmlformats.org/officeDocument/2006/relationships/hyperlink" Target="https://www.solutions-numeriques.com/linstitut-du-numerique-responsable-lance-la-charte-de-lia-responsable/" TargetMode="External"/><Relationship Id="rId36" Type="http://schemas.openxmlformats.org/officeDocument/2006/relationships/hyperlink" Target="https://institutnr.org/la-charte-numerique-responsable-evolue" TargetMode="External"/><Relationship Id="rId37" Type="http://schemas.openxmlformats.org/officeDocument/2006/relationships/hyperlink" Target="https://artificialintelligenceact.eu/fr/article/50/" TargetMode="External"/><Relationship Id="rId38" Type="http://schemas.openxmlformats.org/officeDocument/2006/relationships/hyperlink" Target="https://digital-strategy.ec.europa.eu/fr/policies/cloud-and-ai-development-act" TargetMode="External"/><Relationship Id="rId39" Type="http://schemas.openxmlformats.org/officeDocument/2006/relationships/hyperlink" Target="https://charter.isit-europe.org/charte-ia/?lang=en_US" TargetMode="External"/><Relationship Id="rId40" Type="http://schemas.openxmlformats.org/officeDocument/2006/relationships/hyperlink" Target="https://www.cnil.fr/fr/entree-en-vigueur-du-reglement-europeen-sur-lia-les-premieres-questions-reponses-de-la-cnil" TargetMode="External"/><Relationship Id="rId41" Type="http://schemas.openxmlformats.org/officeDocument/2006/relationships/hyperlink" Target="https://www.centre-inffo.fr/site-centre-inffo/charte-ia-responsable-pour-une-intelligence-artificielle-ethique-inclusive-durable-de-confiance" TargetMode="External"/><Relationship Id="rId42" Type="http://schemas.openxmlformats.org/officeDocument/2006/relationships/hyperlink" Target="https://www.cep.eu/fileadmin/user_upload/cep.eu/Analysen/COM_2019_168_Ethik_in_KI/CA_COM_2019__168__Lignes_directrices_en_matiere_d_ethique_pour_l_IA.pdf" TargetMode="External"/><Relationship Id="rId43" Type="http://schemas.openxmlformats.org/officeDocument/2006/relationships/hyperlink" Target="https://www.cnil.fr/fr/developpement-des-systemes-dia-les-recommandations-specifiques" TargetMode="External"/><Relationship Id="rId44" Type="http://schemas.openxmlformats.org/officeDocument/2006/relationships/hyperlink" Target="https://lesbases.anct.gouv.fr/ressources/ressources-a-emprunter" TargetMode="Ex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2026-06-23T15:01:03.604Z</dcterms:created>
  <dcterms:modified xsi:type="dcterms:W3CDTF">2026-06-23T15:01:03.604Z</dcterms:modified>
</cp:coreProperties>
</file>